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position w:val="2"/>
          <w:sz w:val="26"/>
          <w:szCs w:val="26"/>
        </w:rPr>
      </w:pPr>
      <w:r>
        <w:rPr>
          <w:position w:val="2"/>
          <w:sz w:val="26"/>
          <w:szCs w:val="26"/>
        </w:rPr>
        <w:t xml:space="preserve">Приложение </w:t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position w:val="2"/>
          <w:sz w:val="26"/>
          <w:szCs w:val="26"/>
        </w:rPr>
      </w:pPr>
      <w:r>
        <w:rPr>
          <w:position w:val="2"/>
          <w:sz w:val="26"/>
          <w:szCs w:val="26"/>
        </w:rPr>
        <w:t xml:space="preserve">к постановлению администрации </w:t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Юргинского муниципального района </w:t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>16</w:t>
      </w:r>
      <w:r>
        <w:rPr>
          <w:sz w:val="26"/>
          <w:szCs w:val="26"/>
        </w:rPr>
        <w:t xml:space="preserve"> октября 2017 г. № </w:t>
      </w:r>
      <w:r>
        <w:rPr>
          <w:sz w:val="26"/>
          <w:szCs w:val="26"/>
        </w:rPr>
        <w:t>886-п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b w:val="false"/>
          <w:b w:val="false"/>
          <w:i/>
          <w:i/>
          <w:sz w:val="26"/>
          <w:szCs w:val="26"/>
        </w:rPr>
      </w:pPr>
      <w:r>
        <w:rPr>
          <w:b w:val="false"/>
          <w:i/>
          <w:sz w:val="26"/>
          <w:szCs w:val="26"/>
        </w:rPr>
        <w:t xml:space="preserve">О внесении изменений в постановление 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b w:val="false"/>
          <w:b w:val="false"/>
          <w:i/>
          <w:i/>
          <w:sz w:val="26"/>
          <w:szCs w:val="26"/>
        </w:rPr>
      </w:pPr>
      <w:r>
        <w:rPr>
          <w:b w:val="false"/>
          <w:i/>
          <w:sz w:val="26"/>
          <w:szCs w:val="26"/>
        </w:rPr>
        <w:t xml:space="preserve">администрации Юргинского муниципального 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b w:val="false"/>
          <w:b w:val="false"/>
          <w:i/>
          <w:i/>
          <w:sz w:val="26"/>
          <w:szCs w:val="26"/>
        </w:rPr>
      </w:pPr>
      <w:r>
        <w:rPr>
          <w:b w:val="false"/>
          <w:i/>
          <w:sz w:val="26"/>
          <w:szCs w:val="26"/>
        </w:rPr>
        <w:t>района от 01.12.2016г.№ 1396-п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b w:val="false"/>
          <w:b w:val="false"/>
          <w:i/>
          <w:i/>
          <w:sz w:val="26"/>
          <w:szCs w:val="26"/>
        </w:rPr>
      </w:pPr>
      <w:r>
        <w:rPr>
          <w:b w:val="false"/>
          <w:i/>
          <w:sz w:val="26"/>
          <w:szCs w:val="26"/>
        </w:rPr>
        <w:t xml:space="preserve">«Об утверждении муниципальной программы 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b w:val="false"/>
          <w:b w:val="false"/>
          <w:i/>
          <w:i/>
          <w:sz w:val="26"/>
          <w:szCs w:val="26"/>
        </w:rPr>
      </w:pPr>
      <w:r>
        <w:rPr>
          <w:b w:val="false"/>
          <w:i/>
          <w:sz w:val="26"/>
          <w:szCs w:val="26"/>
        </w:rPr>
        <w:t>«Развитие торговли в Юргинском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b w:val="false"/>
          <w:b w:val="false"/>
          <w:i/>
          <w:i/>
          <w:sz w:val="26"/>
          <w:szCs w:val="26"/>
        </w:rPr>
      </w:pPr>
      <w:r>
        <w:rPr>
          <w:b w:val="false"/>
          <w:i/>
          <w:sz w:val="26"/>
          <w:szCs w:val="26"/>
        </w:rPr>
        <w:t>муниципальном районе на 2017 – 2019 годы»</w:t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numPr>
          <w:ilvl w:val="0"/>
          <w:numId w:val="0"/>
        </w:numPr>
        <w:tabs>
          <w:tab w:val="left" w:pos="7797" w:leader="none"/>
        </w:tabs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N 1</w:t>
      </w:r>
    </w:p>
    <w:p>
      <w:pPr>
        <w:pStyle w:val="ConsPlusNormal"/>
        <w:tabs>
          <w:tab w:val="left" w:pos="7797" w:leader="none"/>
        </w:tabs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 «Развитие торговли в</w:t>
      </w:r>
    </w:p>
    <w:p>
      <w:pPr>
        <w:pStyle w:val="ConsPlusNormal"/>
        <w:tabs>
          <w:tab w:val="left" w:pos="7797" w:leader="none"/>
        </w:tabs>
        <w:jc w:val="right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основных мероприятий муниципальной программы</w:t>
      </w:r>
    </w:p>
    <w:p>
      <w:pPr>
        <w:pStyle w:val="ConsPlusNormal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«Развитие торговли в Юргинском муниципальном районе на 2017-2019 годы»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программы)</w:t>
      </w:r>
    </w:p>
    <w:p>
      <w:pPr>
        <w:pStyle w:val="ConsPlusNormal"/>
        <w:ind w:left="0" w:right="0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Муниципальный заказчик (муниципальный заказчик-координатор) </w:t>
      </w:r>
    </w:p>
    <w:p>
      <w:pPr>
        <w:pStyle w:val="ConsPlusNormal"/>
        <w:ind w:left="0" w:right="0" w:firstLine="540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Администрация Юргинского муниципального района</w:t>
      </w:r>
    </w:p>
    <w:p>
      <w:pPr>
        <w:pStyle w:val="ConsPlusNormal"/>
        <w:jc w:val="both"/>
        <w:rPr>
          <w:u w:val="single"/>
        </w:rPr>
      </w:pPr>
      <w:r>
        <w:rPr>
          <w:u w:val="single"/>
        </w:rPr>
      </w:r>
    </w:p>
    <w:tbl>
      <w:tblPr>
        <w:tblW w:w="19316" w:type="dxa"/>
        <w:jc w:val="left"/>
        <w:tblInd w:w="5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</w:tblPr>
      <w:tblGrid>
        <w:gridCol w:w="3695"/>
        <w:gridCol w:w="1336"/>
        <w:gridCol w:w="1801"/>
        <w:gridCol w:w="1709"/>
        <w:gridCol w:w="902"/>
        <w:gridCol w:w="1043"/>
        <w:gridCol w:w="969"/>
        <w:gridCol w:w="2576"/>
        <w:gridCol w:w="2074"/>
        <w:gridCol w:w="215"/>
        <w:gridCol w:w="598"/>
        <w:gridCol w:w="599"/>
        <w:gridCol w:w="599"/>
        <w:gridCol w:w="599"/>
        <w:gridCol w:w="601"/>
      </w:tblGrid>
      <w:tr>
        <w:trPr>
          <w:cantSplit w:val="true"/>
        </w:trPr>
        <w:tc>
          <w:tcPr>
            <w:tcW w:w="36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Виды затрат и основные мероприятия</w:t>
            </w:r>
          </w:p>
        </w:tc>
        <w:tc>
          <w:tcPr>
            <w:tcW w:w="133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bookmarkStart w:id="0" w:name="Par280"/>
            <w:bookmarkEnd w:id="0"/>
            <w:r>
              <w:rPr>
                <w:rFonts w:ascii="Arial" w:hAnsi="Arial"/>
                <w:sz w:val="22"/>
                <w:szCs w:val="22"/>
              </w:rPr>
              <w:t>Условное обозначение направления расходов</w:t>
            </w:r>
          </w:p>
        </w:tc>
        <w:tc>
          <w:tcPr>
            <w:tcW w:w="18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Par281"/>
            <w:bookmarkEnd w:id="1"/>
            <w:r>
              <w:rPr>
                <w:rFonts w:ascii="Arial" w:hAnsi="Arial"/>
                <w:sz w:val="22"/>
                <w:szCs w:val="22"/>
              </w:rPr>
              <w:t>Объем финансирования в году, предшествующем году разработки программы, тыс. руб. (отчет)</w:t>
            </w:r>
          </w:p>
        </w:tc>
        <w:tc>
          <w:tcPr>
            <w:tcW w:w="1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Объем финансирования в текущем году (год, в котором осуществляется разработка программы), тыс. руб. (план)</w:t>
            </w:r>
          </w:p>
        </w:tc>
        <w:tc>
          <w:tcPr>
            <w:tcW w:w="29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Предложения по финансированию программы в плановом периоде, тыс. руб.</w:t>
            </w:r>
          </w:p>
        </w:tc>
        <w:tc>
          <w:tcPr>
            <w:tcW w:w="25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Наименования и реквизиты федеральных , региональных, муниципальных НПА, поручений Президента и Правительства Российской Федерации</w:t>
            </w:r>
          </w:p>
        </w:tc>
        <w:tc>
          <w:tcPr>
            <w:tcW w:w="20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Получатели бюджетных средств (в соответствии с ведомственной классификацией районного бюджета)</w:t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widowControl/>
              <w:bidi w:val="0"/>
              <w:snapToGrid w:val="false"/>
              <w:spacing w:lineRule="auto" w:line="240"/>
              <w:ind w:left="0" w:right="113" w:hanging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36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2017 год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2018 год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2019 год</w:t>
            </w:r>
          </w:p>
        </w:tc>
        <w:tc>
          <w:tcPr>
            <w:tcW w:w="25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7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</w:t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bookmarkStart w:id="2" w:name="Par300"/>
            <w:bookmarkEnd w:id="2"/>
            <w:r>
              <w:rPr/>
              <w:t>Всего по программе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Администрация Юргинского муниципального района</w:t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both"/>
              <w:rPr/>
            </w:pPr>
            <w:bookmarkStart w:id="3" w:name="Par330"/>
            <w:bookmarkEnd w:id="3"/>
            <w:r>
              <w:rPr/>
              <w:t>Текущие расходы, всего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both"/>
              <w:rPr/>
            </w:pPr>
            <w:r>
              <w:rPr/>
              <w:t>4.Местный бюджет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both"/>
              <w:rPr/>
            </w:pPr>
            <w:r>
              <w:rPr/>
              <w:t>4.1. На выполнение полномочий Российской Федерации и субъекта Российской Федерации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both"/>
              <w:rPr/>
            </w:pPr>
            <w:r>
              <w:rPr/>
              <w:t>4.2. На выполнение иных мероприятий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jc w:val="both"/>
              <w:rPr/>
            </w:pPr>
            <w:r>
              <w:rPr/>
              <w:t>5. Сумма расходов на мероприятия, направленные на оказание услуг и улучшение их качества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pacing w:lineRule="auto" w:line="240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spacing w:lineRule="auto" w:line="240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6. Сумма расходов на строительство (реконструкцию) объектов, участие в уставном капитале организации и т.д.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7. Прочие мероприятия (без учета расходов на управление)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1131" w:hRule="atLeast"/>
        </w:trPr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8. Справочно:</w:t>
            </w:r>
          </w:p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объем бюджетных ассигнований на реализацию мероприятий, рассчитанный нормативным методом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Цель:</w:t>
            </w:r>
            <w:r>
              <w:rPr/>
              <w:t xml:space="preserve"> 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района Тюменской области качественными товарами, услугами», в том числе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Расходы по цели, всего:</w:t>
            </w:r>
            <w:r>
              <w:rPr/>
              <w:t xml:space="preserve"> 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района Тюменской области качественными товарами, услугами», в том числе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 по цели, всего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 по цели, всего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Текущие расходы по цели, всего:</w:t>
            </w:r>
            <w:r>
              <w:rPr/>
              <w:t xml:space="preserve"> 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района Тюменской области качественными товарами, услугами», в том числе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158,00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152,00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b/>
                <w:b/>
              </w:rPr>
            </w:pPr>
            <w:r>
              <w:rPr>
                <w:b/>
              </w:rPr>
              <w:t>Расходы по задачам: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Задача 1</w:t>
            </w:r>
            <w:r>
              <w:rPr/>
              <w:t>. Совершенствование государственной координации и нормативно-правового обеспечения в сфере торговли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17,00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16,00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Строительство (реконструкция)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Приобретение оборудования, относимого на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Прочие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 по мероприятиям: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Мероприятие 1</w:t>
            </w:r>
            <w:r>
              <w:rPr/>
              <w:t>. Формирование торгового реестра</w:t>
            </w:r>
          </w:p>
          <w:p>
            <w:pPr>
              <w:pStyle w:val="ConsPlusNormal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11,00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13,00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15,00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15,00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16,00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11,00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13,00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15,00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15,00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16,00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Всего на задачу 1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17,00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16,00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 xml:space="preserve">Задача 2. </w:t>
            </w:r>
            <w:r>
              <w:rPr/>
              <w:t>Повышение экономической и территориальной доступности товаров и услуг для населения Юргинского района Тюменской области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141,00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139,00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366" w:hRule="atLeast"/>
        </w:trPr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Строительство (реконструкция)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553" w:hRule="atLeast"/>
        </w:trPr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Приобретение оборудования, относимого на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Прочие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 по мероприятиям: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2411" w:hRule="atLeast"/>
        </w:trPr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b/>
                <w:b/>
              </w:rPr>
            </w:pPr>
            <w:r>
              <w:rPr>
                <w:b/>
              </w:rPr>
              <w:t>Мероприятие 1.</w:t>
            </w:r>
          </w:p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мер по функционированию системы государственного информационного обеспечения в сфере торговой деятельности и информационно-аналитическое наблюдение за состоянием потребительского рынка на муниципальном уровне</w:t>
            </w:r>
          </w:p>
          <w:p>
            <w:pPr>
              <w:pStyle w:val="ConsPlusNormal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2. </w:t>
            </w:r>
            <w:r>
              <w:rPr>
                <w:sz w:val="20"/>
                <w:szCs w:val="20"/>
              </w:rPr>
              <w:t>Содействие организации и проведению ярмарок на территории района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3. </w:t>
            </w:r>
            <w:r>
              <w:rPr>
                <w:sz w:val="20"/>
                <w:szCs w:val="20"/>
              </w:rPr>
              <w:t xml:space="preserve">Содействие в развитии инфраструктуры потребительского рынка и достижении нормативов минимальной обеспеченности населения площадью торговых объектов 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Мероприятие 4.</w:t>
            </w:r>
            <w:r>
              <w:rPr/>
              <w:t>Организация доставки товаров первой необходимости и оказание бытовых услуг в труднодоступные территории района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141,00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139,00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141,00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139,00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197" w:hRule="atLeast"/>
        </w:trPr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Всего на задачу 2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141,00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139,00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Задача 3.</w:t>
            </w:r>
            <w:r>
              <w:rPr/>
              <w:t xml:space="preserve"> Содействие развитию инновационной и инвестиционной деятельности в сфере потребительского рынка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6105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rPr/>
            </w:pPr>
            <w:r>
              <w:rPr/>
            </w:r>
          </w:p>
        </w:tc>
        <w:tc>
          <w:tcPr>
            <w:tcW w:w="59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6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9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6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9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6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9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6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1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6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Строительство (реконструкция)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Приобретение оборудования, относимого на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Прочие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 по мероприятиям: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sz w:val="20"/>
                <w:szCs w:val="20"/>
              </w:rPr>
              <w:t>Мероприятие 1</w:t>
            </w:r>
            <w:r>
              <w:rPr>
                <w:sz w:val="20"/>
                <w:szCs w:val="20"/>
              </w:rPr>
              <w:t>. Организация развития сельскохозяйственных, универсальных рынков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>Мероприятие 2</w:t>
            </w:r>
            <w:r>
              <w:rPr>
                <w:sz w:val="20"/>
                <w:szCs w:val="20"/>
              </w:rPr>
              <w:t>. Содействие развитию франчайзинга путем проведения вебинаров, круглых столов, конференций, семинаров с привлечением экспертов РАФ, Фонда "Инвестиционное агентство Тюменской области»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 на задачу 3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sz w:val="20"/>
                <w:szCs w:val="20"/>
              </w:rPr>
              <w:t>Задача 4.</w:t>
            </w:r>
            <w:r>
              <w:rPr>
                <w:sz w:val="20"/>
                <w:szCs w:val="20"/>
              </w:rPr>
              <w:t xml:space="preserve"> Создание условий для продвижения продукции тюменских товаропроизводителей на региональном и внерегиональном уровне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Строительство (реконструкция)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Приобретение оборудования, относимого на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Прочие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 по мероприятиям: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1. </w:t>
            </w:r>
            <w:r>
              <w:rPr>
                <w:sz w:val="20"/>
                <w:szCs w:val="20"/>
              </w:rPr>
              <w:t>Содействие в продвижении продукции местных товаропроизводителей на региональном и внерегиональном уровне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2. </w:t>
            </w:r>
            <w:r>
              <w:rPr>
                <w:sz w:val="20"/>
                <w:szCs w:val="20"/>
              </w:rPr>
              <w:t xml:space="preserve">Содействие по созданию условий производителям продуктов питания, крестьянско-фермерским хозяйствам, физическим лицам в предоставлении торговых мест на рынках и ярмарках для реализации выпускаемой продукции и излишков продукции ЛПХ. 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 по задаче 4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  <w:bCs/>
              </w:rPr>
              <w:t xml:space="preserve">Задача 5. </w:t>
            </w:r>
            <w:r>
              <w:rPr>
                <w:bCs/>
              </w:rPr>
              <w:t>Создание условий для повышения качества реализуемых товаров (оказываемых услуг) и защиты прав потребителей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Строительство (реконструкция)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Приобретение оборудования, относимого на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Прочие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 по мероприятиям: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1.  </w:t>
            </w:r>
            <w:r>
              <w:rPr>
                <w:bCs/>
                <w:sz w:val="20"/>
                <w:szCs w:val="20"/>
              </w:rPr>
              <w:t>Информирование предпринимателей об о</w:t>
            </w:r>
            <w:r>
              <w:rPr>
                <w:sz w:val="20"/>
                <w:szCs w:val="20"/>
              </w:rPr>
              <w:t>рганизации и проведении конкурса "Лучшие товары и услуги Тюменской области" и регионального этапа Всероссийского Конкурса Программы "100 лучших товаров России»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2. 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становление дополнительных ограничений времени, условий и мест розничной продажи алкогольной продукции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Всего по задаче 5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Задача 6.  </w:t>
            </w:r>
            <w:r>
              <w:rPr>
                <w:bCs/>
                <w:sz w:val="20"/>
                <w:szCs w:val="20"/>
              </w:rPr>
              <w:t>Развитие системы подготовки профессиональных кадров и укрепление кадрового потенциала в сфере потребительского рынка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Строительство (реконструкция)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Приобретение оборудования, относимого на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Прочие бюджетные инвестиции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НИОКР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 том числе по мероприятиям: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1. </w:t>
            </w:r>
            <w:r>
              <w:rPr>
                <w:sz w:val="20"/>
                <w:szCs w:val="20"/>
              </w:rPr>
              <w:t>Реализация мероприятий, направленных на формирование высококвалифицированного кадрового потенциала на предприятиях сферы потребительского рынка, в т.ч. проведение массовых профориентационных мероприятий с участием работодателей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279" w:hRule="atLeast"/>
        </w:trPr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  <w:bCs/>
              </w:rPr>
              <w:t xml:space="preserve">Мероприятие 2. </w:t>
            </w:r>
            <w:r>
              <w:rPr/>
              <w:t>Организация взаимодействия профессиональных образовательных организаций и предприятий сферы потребительского рынка, в том числе по практическому обучению с последующим трудоустройством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Текущие расходы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Всего по задаче 6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</w:t>
            </w:r>
          </w:p>
        </w:tc>
        <w:tc>
          <w:tcPr>
            <w:tcW w:w="2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2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321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Руководитель структурного подразделения  </w:t>
      </w:r>
    </w:p>
    <w:p>
      <w:pPr>
        <w:pStyle w:val="ConsPlusNonformat"/>
        <w:jc w:val="both"/>
        <w:rPr/>
      </w:pPr>
      <w:r>
        <w:rPr/>
        <w:t>______________________________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(подпись)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Исполнитель ______________________________, телефон _______________________</w:t>
      </w:r>
    </w:p>
    <w:p>
      <w:pPr>
        <w:pStyle w:val="ConsPlusNonformat"/>
        <w:jc w:val="both"/>
        <w:rPr/>
      </w:pPr>
      <w:r>
        <w:rPr/>
        <w:t xml:space="preserve">                       </w:t>
      </w:r>
      <w:r>
        <w:rPr/>
        <w:t>(подпись)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Согласовано с Финансово-казначейским управлением по Юргинскому району ____________________</w:t>
      </w:r>
    </w:p>
    <w:p>
      <w:pPr>
        <w:pStyle w:val="ConsPlusNonformat"/>
        <w:jc w:val="both"/>
        <w:rPr/>
      </w:pPr>
      <w:r>
        <w:rPr/>
        <w:t>_________________    ______________________________                       (должность)</w:t>
      </w:r>
    </w:p>
    <w:p>
      <w:pPr>
        <w:sectPr>
          <w:type w:val="nextPage"/>
          <w:pgSz w:orient="landscape" w:w="16838" w:h="11906"/>
          <w:pgMar w:left="567" w:right="567" w:header="0" w:top="1134" w:footer="0" w:bottom="567" w:gutter="0"/>
          <w:pgNumType w:fmt="decimal"/>
          <w:formProt w:val="false"/>
          <w:textDirection w:val="lrTb"/>
          <w:docGrid w:type="default" w:linePitch="360" w:charSpace="4294961151"/>
        </w:sectPr>
        <w:pStyle w:val="ConsPlusNonformat"/>
        <w:jc w:val="both"/>
        <w:rPr/>
      </w:pPr>
      <w:r>
        <w:rPr/>
        <w:t xml:space="preserve">  </w:t>
      </w:r>
      <w:r>
        <w:rPr/>
        <w:t xml:space="preserve">(подпись)             </w:t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N 2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 «Развитие торговли в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>
          <w:sz w:val="26"/>
          <w:szCs w:val="26"/>
        </w:rPr>
      </w:pPr>
      <w:bookmarkStart w:id="4" w:name="Par990"/>
      <w:bookmarkEnd w:id="4"/>
      <w:r>
        <w:rPr>
          <w:sz w:val="26"/>
          <w:szCs w:val="26"/>
        </w:rPr>
        <w:t>ОБЪЕМЫ и ИСТОЧНИКИ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финансирования муниципальной программы </w:t>
      </w:r>
    </w:p>
    <w:p>
      <w:pPr>
        <w:pStyle w:val="ConsPlusNormal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«Развитие торговли в Юргинском муниципальном районе»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программы)</w:t>
      </w:r>
    </w:p>
    <w:p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ind w:left="0" w:right="0"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Муниципальный заказчик (муниципальный заказчик-координатор) Администрация Юргинского муниципального района</w:t>
      </w:r>
    </w:p>
    <w:p>
      <w:pPr>
        <w:pStyle w:val="ConsPlusNormal"/>
        <w:jc w:val="both"/>
        <w:rPr/>
      </w:pPr>
      <w:r>
        <w:rPr/>
      </w:r>
    </w:p>
    <w:tbl>
      <w:tblPr>
        <w:tblW w:w="9805" w:type="dxa"/>
        <w:jc w:val="left"/>
        <w:tblInd w:w="25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</w:tblPr>
      <w:tblGrid>
        <w:gridCol w:w="681"/>
        <w:gridCol w:w="6287"/>
        <w:gridCol w:w="913"/>
        <w:gridCol w:w="969"/>
        <w:gridCol w:w="955"/>
      </w:tblGrid>
      <w:tr>
        <w:trPr>
          <w:cantSplit w:val="true"/>
        </w:trPr>
        <w:tc>
          <w:tcPr>
            <w:tcW w:w="68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N п/п</w:t>
            </w:r>
          </w:p>
        </w:tc>
        <w:tc>
          <w:tcPr>
            <w:tcW w:w="628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rPr/>
            </w:pPr>
            <w:r>
              <w:rPr/>
            </w:r>
          </w:p>
        </w:tc>
        <w:tc>
          <w:tcPr>
            <w:tcW w:w="28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Плановый период</w:t>
            </w:r>
          </w:p>
        </w:tc>
      </w:tr>
      <w:tr>
        <w:trPr>
          <w:cantSplit w:val="true"/>
        </w:trPr>
        <w:tc>
          <w:tcPr>
            <w:tcW w:w="68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2017 год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2018 год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2019 год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 xml:space="preserve">Всего на достижение цели (целей) программы, в том числе 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5" w:name="Par1040"/>
            <w:bookmarkStart w:id="6" w:name="Par1018"/>
            <w:bookmarkEnd w:id="5"/>
            <w:bookmarkEnd w:id="6"/>
            <w:r>
              <w:rPr/>
              <w:t>2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153,00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154,00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7" w:name="Par1045"/>
            <w:bookmarkEnd w:id="7"/>
            <w:r>
              <w:rPr/>
              <w:t>3</w:t>
            </w:r>
          </w:p>
        </w:tc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>
                <w:b/>
                <w:color w:val="000000"/>
              </w:rPr>
              <w:t>Цель:</w:t>
            </w:r>
            <w:r>
              <w:rPr/>
              <w:t xml:space="preserve"> 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района Тюменской области качественными товарами, услугами», в том числе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4.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Задача 1.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Совершенствование государственной координации и нормативно-правового обеспечения в сфере торговли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16,00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5.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 том числе: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6.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16,00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7.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внебюджетные средства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Задача 2.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Повышение экономической и территориальной доступности товаров и услуг для населения Юргинского района Тюменской области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 том числе: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8" w:name="Par1094"/>
            <w:bookmarkEnd w:id="8"/>
            <w:r>
              <w:rPr/>
              <w:t>10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138,00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9" w:name="Par1119"/>
            <w:bookmarkEnd w:id="9"/>
            <w:r>
              <w:rPr/>
              <w:t>11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внебюджетные средства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Задача 3.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Содействие развитию инновационной и инвестиционной деятельности в сфере потребительского рынка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 том числе: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0" w:name="Par1134"/>
            <w:bookmarkEnd w:id="10"/>
            <w:r>
              <w:rPr/>
              <w:t>14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1" w:name="Par1159"/>
            <w:bookmarkEnd w:id="11"/>
            <w:r>
              <w:rPr/>
              <w:t>15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внебюджетные средства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Задача 4.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Создание условий для продвижения продукции тюменских товаропроизводителей на региональном и внерегиональном уровне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 том числе: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2" w:name="Par1181"/>
            <w:bookmarkEnd w:id="12"/>
            <w:r>
              <w:rPr/>
              <w:t>18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внебюджетные средства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3" w:name="Par1191"/>
            <w:bookmarkEnd w:id="13"/>
            <w:r>
              <w:rPr/>
              <w:t>20</w:t>
            </w:r>
          </w:p>
        </w:tc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Задача 5.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Создание условий для повышения качества реализуемых товаров (оказываемых услуг) и защиты прав потребителей.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 том числе: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4" w:name="Par1233"/>
            <w:bookmarkStart w:id="15" w:name="Par1223"/>
            <w:bookmarkEnd w:id="14"/>
            <w:bookmarkEnd w:id="15"/>
            <w:r>
              <w:rPr/>
              <w:t>23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внебюджетные средства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6" w:name="Par1248"/>
            <w:bookmarkStart w:id="17" w:name="Par1238"/>
            <w:bookmarkEnd w:id="16"/>
            <w:bookmarkEnd w:id="17"/>
            <w:r>
              <w:rPr/>
              <w:t>24</w:t>
            </w:r>
          </w:p>
        </w:tc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Задача 6.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Развитие системы подготовки профессиональных кадров и укрепление кадрового потенциала в сфере потребительского рынка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 том числе: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местный  бюджет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  <w:tr>
        <w:trPr/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18" w:name="Par1273"/>
            <w:bookmarkStart w:id="19" w:name="Par1263"/>
            <w:bookmarkEnd w:id="18"/>
            <w:bookmarkEnd w:id="19"/>
            <w:r>
              <w:rPr/>
              <w:t>27</w:t>
            </w:r>
          </w:p>
        </w:tc>
        <w:tc>
          <w:tcPr>
            <w:tcW w:w="6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внебюджетные средства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0,00</w:t>
            </w:r>
          </w:p>
        </w:tc>
      </w:tr>
    </w:tbl>
    <w:p>
      <w:pPr>
        <w:pStyle w:val="ConsPlusNormal"/>
        <w:jc w:val="both"/>
        <w:rPr/>
      </w:pPr>
      <w:bookmarkStart w:id="20" w:name="Par1288"/>
      <w:bookmarkStart w:id="21" w:name="Par1278"/>
      <w:bookmarkStart w:id="22" w:name="Par1288"/>
      <w:bookmarkStart w:id="23" w:name="Par1278"/>
      <w:bookmarkEnd w:id="22"/>
      <w:bookmarkEnd w:id="23"/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Руководитель   структурного подразделения Администрации Юргинского муниципального района ______________________________</w:t>
      </w:r>
    </w:p>
    <w:p>
      <w:pPr>
        <w:pStyle w:val="ConsPlusNonformat"/>
        <w:jc w:val="both"/>
        <w:rPr/>
      </w:pPr>
      <w:r>
        <w:rPr/>
        <w:t xml:space="preserve">                 </w:t>
      </w:r>
      <w:r>
        <w:rPr/>
        <w:t>(подпись)</w:t>
      </w:r>
    </w:p>
    <w:p>
      <w:pPr>
        <w:pStyle w:val="ConsPlusNonformat"/>
        <w:jc w:val="both"/>
        <w:rPr/>
      </w:pPr>
      <w:r>
        <w:rPr/>
        <w:t>Исполнитель _____________________________, телефон ___________________</w:t>
      </w:r>
    </w:p>
    <w:p>
      <w:pPr>
        <w:pStyle w:val="ConsPlusNonformat"/>
        <w:jc w:val="both"/>
        <w:rPr/>
      </w:pPr>
      <w:r>
        <w:rPr/>
        <w:t xml:space="preserve">                     </w:t>
      </w:r>
      <w:r>
        <w:rPr/>
        <w:t>(подпись)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Согласовано с Финансово-казначейским управлением Юргинского муниципального района </w:t>
      </w:r>
    </w:p>
    <w:p>
      <w:pPr>
        <w:pStyle w:val="ConsPlusNonformat"/>
        <w:jc w:val="both"/>
        <w:rPr/>
      </w:pPr>
      <w:r>
        <w:rPr/>
        <w:t xml:space="preserve">________________     ______________________________        </w:t>
      </w:r>
    </w:p>
    <w:p>
      <w:pPr>
        <w:pStyle w:val="ConsPlusNonformat"/>
        <w:jc w:val="both"/>
        <w:rPr/>
      </w:pPr>
      <w:r>
        <w:rPr/>
        <w:t xml:space="preserve">  </w:t>
      </w:r>
      <w:r>
        <w:rPr/>
        <w:t>(подпись)              (расшифровка подписи)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N 3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 «Развитие торговли в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/>
      </w:pPr>
      <w:r>
        <w:rPr/>
      </w:r>
    </w:p>
    <w:p>
      <w:pPr>
        <w:pStyle w:val="ConsPlusNormal"/>
        <w:jc w:val="center"/>
        <w:rPr>
          <w:sz w:val="26"/>
          <w:szCs w:val="26"/>
        </w:rPr>
      </w:pPr>
      <w:bookmarkStart w:id="24" w:name="Par1334"/>
      <w:bookmarkEnd w:id="24"/>
      <w:r>
        <w:rPr>
          <w:sz w:val="26"/>
          <w:szCs w:val="26"/>
        </w:rPr>
        <w:t>ПЛАН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мероприятий по реализации муниципальной программы</w:t>
      </w:r>
    </w:p>
    <w:p>
      <w:pPr>
        <w:pStyle w:val="ConsPlusNormal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«Развитие торговли в Юргинском муниципальном районе на 2017-2019 годы»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программы)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на 2017 год и на плановый период 2018-2019 годов</w:t>
      </w:r>
    </w:p>
    <w:p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ind w:left="0" w:right="0"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Муниципальный  заказчик (муниципальный заказчик-координатор) Администрация Юргинского муниципального района</w:t>
      </w:r>
    </w:p>
    <w:p>
      <w:pPr>
        <w:pStyle w:val="ConsPlusNormal"/>
        <w:jc w:val="both"/>
        <w:rPr/>
      </w:pPr>
      <w:r>
        <w:rPr/>
      </w:r>
    </w:p>
    <w:tbl>
      <w:tblPr>
        <w:tblW w:w="10264" w:type="dxa"/>
        <w:jc w:val="left"/>
        <w:tblInd w:w="5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</w:tblPr>
      <w:tblGrid>
        <w:gridCol w:w="627"/>
        <w:gridCol w:w="1814"/>
        <w:gridCol w:w="1473"/>
        <w:gridCol w:w="1581"/>
        <w:gridCol w:w="1541"/>
        <w:gridCol w:w="1473"/>
        <w:gridCol w:w="1755"/>
      </w:tblGrid>
      <w:tr>
        <w:trPr>
          <w:cantSplit w:val="true"/>
        </w:trPr>
        <w:tc>
          <w:tcPr>
            <w:tcW w:w="6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 п/п</w:t>
            </w:r>
          </w:p>
        </w:tc>
        <w:tc>
          <w:tcPr>
            <w:tcW w:w="181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4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</w:t>
            </w:r>
          </w:p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ный исполнитель</w:t>
            </w:r>
          </w:p>
        </w:tc>
        <w:tc>
          <w:tcPr>
            <w:tcW w:w="45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мероприятия</w:t>
            </w:r>
          </w:p>
        </w:tc>
        <w:tc>
          <w:tcPr>
            <w:tcW w:w="175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Ожидаемый результат реализации мероприятия (контрольное событие)</w:t>
            </w:r>
          </w:p>
        </w:tc>
      </w:tr>
      <w:tr>
        <w:trPr>
          <w:cantSplit w:val="true"/>
        </w:trPr>
        <w:tc>
          <w:tcPr>
            <w:tcW w:w="62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1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</w:t>
            </w:r>
          </w:p>
        </w:tc>
        <w:tc>
          <w:tcPr>
            <w:tcW w:w="175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1.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>
                <w:b/>
              </w:rPr>
              <w:t>Цель:</w:t>
            </w:r>
            <w:r>
              <w:rPr/>
              <w:t xml:space="preserve">  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района Тюменской области качественными товарами, услугами»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2.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Задача 1.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Совершенствование государственной координации и нормативно-правового обеспечения в сфере торговли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3.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>
                <w:b/>
              </w:rPr>
              <w:t>Мероприятие 1</w:t>
            </w:r>
            <w:r>
              <w:rPr/>
              <w:t>.Формирование торгового реестра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01.01.2018-31.12.2018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Сбор сведений для внесения в торговый реестр Тюменской области(включение, исключение, изменение) о хозяйствующих субъектах и принадлежащих им торговых объектах.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4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>
                <w:b/>
              </w:rPr>
              <w:t>Задача 2</w:t>
            </w:r>
            <w:r>
              <w:rPr/>
              <w:t>.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>Повышение экономической и территориальной доступности товаров и услуг для населения Юргинского района Тюменской области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5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</w:rPr>
            </w:pPr>
            <w:r>
              <w:rPr>
                <w:b/>
              </w:rPr>
              <w:t>Мероприятие 1.</w:t>
            </w:r>
          </w:p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мер по функционированию системы государственного информационного обеспечения в сфере торговой деятельности и информационно-аналитическое наблюдение за состоянием потребительского рынка на муниципальном уровне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размещенной информации о состоянии потребительского рынка-неменее 20 информаций в год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6.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2. </w:t>
            </w:r>
            <w:r>
              <w:rPr>
                <w:sz w:val="20"/>
                <w:szCs w:val="20"/>
              </w:rPr>
              <w:t>Содействие организации и проведению ярмарок на территории района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Проведение ярмарок на территории района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7.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3. </w:t>
            </w:r>
            <w:r>
              <w:rPr>
                <w:sz w:val="20"/>
                <w:szCs w:val="20"/>
              </w:rPr>
              <w:t xml:space="preserve">Содействие в развитии инфраструктуры потребительского рынка и достижении нормативов минимальной обеспеченности населения площадью торговых объектов 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Ежегодное увеличение торговой площади объектов розничной торговли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8.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>
                <w:b/>
              </w:rPr>
              <w:t>Мероприятие 4.</w:t>
            </w:r>
            <w:r>
              <w:rPr/>
              <w:t>Организация доставки товаров первой необходимости и оказание бытовых услуг в труднодоступные территории района</w:t>
            </w:r>
          </w:p>
          <w:p>
            <w:pPr>
              <w:pStyle w:val="ConsPlusNormal"/>
              <w:ind w:left="0" w:right="0" w:hanging="0"/>
              <w:jc w:val="both"/>
              <w:rPr/>
            </w:pPr>
            <w:r>
              <w:rPr/>
            </w:r>
          </w:p>
          <w:p>
            <w:pPr>
              <w:pStyle w:val="ConsPlusNormal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Осуществление доставки товаров первой необходимости и оказание бытовых услуг в труднодоступных территориях района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9.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Задача 3. </w:t>
            </w:r>
          </w:p>
          <w:p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Содействие развитию инновационной и инвестиционной деятельности в сфере потребительского рынка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10.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sz w:val="20"/>
                <w:szCs w:val="20"/>
              </w:rPr>
              <w:t>Мероприятие  1</w:t>
            </w:r>
            <w:r>
              <w:rPr>
                <w:sz w:val="20"/>
                <w:szCs w:val="20"/>
              </w:rPr>
              <w:t>.Организация развития сельскохозяйственных, универсальных рынков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Поиск инвестора по строительству рынка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11.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>Мероприятие  2</w:t>
            </w:r>
            <w:r>
              <w:rPr>
                <w:sz w:val="20"/>
                <w:szCs w:val="20"/>
              </w:rPr>
              <w:t>. Содействие развитию франчайзинга путем проведения вебинаров, круглых столов, конференций, семинаров с привлечением экспертов РАФ, Фонда "Инвестиционное агентство Тюменской области»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Информирование предпринимателей о проведении мероприятий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12.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Задача 4. </w:t>
            </w:r>
          </w:p>
          <w:p>
            <w:pPr>
              <w:pStyle w:val="Default"/>
              <w:jc w:val="both"/>
              <w:rPr/>
            </w:pPr>
            <w:r>
              <w:rPr>
                <w:bCs/>
                <w:sz w:val="20"/>
                <w:szCs w:val="20"/>
              </w:rPr>
              <w:t>Создание условий для продвижения продукции тюменских товаропроизводителей на региональном и внерегиональном уровне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13.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1. </w:t>
            </w:r>
            <w:r>
              <w:rPr>
                <w:sz w:val="20"/>
                <w:szCs w:val="20"/>
              </w:rPr>
              <w:t>Содействие в продвижении продукции местных товаропроизводителей на региональном и внерегиональном уровне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/>
            </w:pPr>
            <w:r>
              <w:rPr/>
              <w:t>Организация и проведение презентаций товаров местных производителей.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14.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2. </w:t>
            </w:r>
            <w:r>
              <w:rPr>
                <w:sz w:val="20"/>
                <w:szCs w:val="20"/>
              </w:rPr>
              <w:t xml:space="preserve">Содействие по созданию условий производителям продуктов питания, крестьянско-фермерским хозяйствам, физическим лицам в предоставлении торговых мест на рынках и ярмарках для реализации выпускаемой продукции и излишков продукции ЛПХ. 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товаропроизводителям сельскохозяйственной продукции, на розничных рынках торговых мест.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15.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Задача 5. </w:t>
            </w:r>
          </w:p>
          <w:p>
            <w:pPr>
              <w:pStyle w:val="ConsPlusNormal"/>
              <w:ind w:left="0" w:right="0" w:hanging="0"/>
              <w:rPr>
                <w:bCs/>
              </w:rPr>
            </w:pPr>
            <w:r>
              <w:rPr>
                <w:bCs/>
              </w:rPr>
              <w:t xml:space="preserve">Создание условий для повышения качества реализуемых товаров (оказываемых услуг) и защиты прав потребителей 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16.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/>
            </w:pPr>
            <w:r>
              <w:rPr>
                <w:b/>
                <w:bCs/>
                <w:sz w:val="20"/>
                <w:szCs w:val="20"/>
              </w:rPr>
              <w:t>Мероприятие1. Информирование предпринимателей об о</w:t>
            </w:r>
            <w:r>
              <w:rPr>
                <w:sz w:val="20"/>
                <w:szCs w:val="20"/>
              </w:rPr>
              <w:t>рганизация и проведение конкурса "Лучшие товары и услуги Тюменской области" и регионального этапа Всероссийского Конкурса Программы "100 лучших товаров России»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Ежегодное предоставление предприятиями (индивидуальными предпринимателями)для участия в конкурсе"Лучшиет овары и услуги Тюменской области"неменее300 заявок на продукцию и услуги 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17.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/>
            </w:pPr>
            <w:r>
              <w:rPr>
                <w:b/>
                <w:bCs/>
                <w:sz w:val="20"/>
                <w:szCs w:val="20"/>
              </w:rPr>
              <w:t>Мероприятие 2.У</w:t>
            </w:r>
            <w:r>
              <w:rPr>
                <w:sz w:val="20"/>
                <w:szCs w:val="20"/>
              </w:rPr>
              <w:t>становление дополнительных ограничений времени, условий и мест розничной продажи алкогольной продукции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Принятие НПА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18.</w:t>
            </w:r>
          </w:p>
        </w:tc>
        <w:tc>
          <w:tcPr>
            <w:tcW w:w="9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Задача 6. </w:t>
            </w:r>
          </w:p>
          <w:p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Развитие системы подготовки профессиональных кадров и укрепление кадрового потенциала в сфере потребительского рынка 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19.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1. </w:t>
            </w:r>
            <w:r>
              <w:rPr>
                <w:sz w:val="20"/>
                <w:szCs w:val="20"/>
              </w:rPr>
              <w:t>Реализация мероприятий, направленных на формирование высококвалифицированного кадрового потенциала на предприятиях сферы потребительского рынка, в т.ч. проведение массовых профориентационных мероприятий с участием работодателей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мероприятий (конференция,круглыйстол,мастер-класс,конкурс,экскурсия),направленных на формирование высококвалифицированного кадрового потенциала на предприятиях сферы потребительского рынка</w:t>
            </w:r>
          </w:p>
        </w:tc>
      </w:tr>
      <w:tr>
        <w:trPr/>
        <w:tc>
          <w:tcPr>
            <w:tcW w:w="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20.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/>
            </w:pPr>
            <w:r>
              <w:rPr>
                <w:b/>
                <w:bCs/>
                <w:sz w:val="20"/>
                <w:szCs w:val="20"/>
              </w:rPr>
              <w:t xml:space="preserve">Мероприятие 2. </w:t>
            </w:r>
            <w:r>
              <w:rPr>
                <w:sz w:val="20"/>
                <w:szCs w:val="20"/>
              </w:rPr>
              <w:t>Организация взаимодействия профессиональных образовательных организаций и предприятий сферы потребительского рынка, в том числе по практическому обучению с последующим трудоустройством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1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01.01.2017-31.12.2017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01.01..2018-31.12..2018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01.01..2019-31.12. 2019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профессиональных кадров для сферы потребительского рынка</w:t>
            </w:r>
          </w:p>
        </w:tc>
      </w:tr>
    </w:tbl>
    <w:p>
      <w:pPr>
        <w:sectPr>
          <w:type w:val="nextPage"/>
          <w:pgSz w:w="11906" w:h="16838"/>
          <w:pgMar w:left="1133" w:right="566" w:header="0" w:top="1134" w:footer="0" w:bottom="1134" w:gutter="0"/>
          <w:pgNumType w:fmt="decimal"/>
          <w:formProt w:val="false"/>
          <w:textDirection w:val="lrTb"/>
          <w:docGrid w:type="default" w:linePitch="360" w:charSpace="4294961151"/>
        </w:sectPr>
      </w:pP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N 4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 «Развитие торговли в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/>
      </w:pPr>
      <w:r>
        <w:rPr/>
      </w:r>
    </w:p>
    <w:p>
      <w:pPr>
        <w:pStyle w:val="ConsPlusNormal"/>
        <w:jc w:val="center"/>
        <w:rPr>
          <w:sz w:val="26"/>
          <w:szCs w:val="26"/>
        </w:rPr>
      </w:pPr>
      <w:bookmarkStart w:id="25" w:name="Par1433"/>
      <w:bookmarkEnd w:id="25"/>
      <w:r>
        <w:rPr>
          <w:sz w:val="26"/>
          <w:szCs w:val="26"/>
        </w:rPr>
        <w:t>ПОКАЗАТЕЛИ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«Развитие торговли в Юргинском муниципальном районе на 2017-2019 годы» 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программы)</w:t>
      </w:r>
    </w:p>
    <w:p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ind w:left="0" w:right="0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Муниципальный заказчик (муниципальный заказчик-координатор) </w:t>
      </w:r>
    </w:p>
    <w:p>
      <w:pPr>
        <w:pStyle w:val="ConsPlusNormal"/>
        <w:ind w:left="0" w:right="0" w:firstLine="540"/>
        <w:jc w:val="center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Администрация Юргинского муниципального района</w:t>
      </w:r>
    </w:p>
    <w:p>
      <w:pPr>
        <w:pStyle w:val="ConsPlus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tbl>
      <w:tblPr>
        <w:tblW w:w="15837" w:type="dxa"/>
        <w:jc w:val="left"/>
        <w:tblInd w:w="-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</w:tblPr>
      <w:tblGrid>
        <w:gridCol w:w="467"/>
        <w:gridCol w:w="1816"/>
        <w:gridCol w:w="500"/>
        <w:gridCol w:w="1917"/>
        <w:gridCol w:w="1383"/>
        <w:gridCol w:w="1800"/>
        <w:gridCol w:w="1384"/>
        <w:gridCol w:w="800"/>
        <w:gridCol w:w="866"/>
        <w:gridCol w:w="884"/>
        <w:gridCol w:w="1083"/>
        <w:gridCol w:w="1583"/>
        <w:gridCol w:w="1354"/>
      </w:tblGrid>
      <w:tr>
        <w:trPr>
          <w:cantSplit w:val="true"/>
        </w:trPr>
        <w:tc>
          <w:tcPr>
            <w:tcW w:w="4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N п/п</w:t>
            </w:r>
          </w:p>
        </w:tc>
        <w:tc>
          <w:tcPr>
            <w:tcW w:w="181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5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Ед. изм.</w:t>
            </w:r>
          </w:p>
        </w:tc>
        <w:tc>
          <w:tcPr>
            <w:tcW w:w="19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bookmarkStart w:id="26" w:name="Par1443"/>
            <w:bookmarkEnd w:id="26"/>
            <w:r>
              <w:rPr>
                <w:rFonts w:ascii="Arial" w:hAnsi="Arial"/>
                <w:sz w:val="21"/>
                <w:szCs w:val="21"/>
              </w:rPr>
              <w:t>Направленность показателя (прямого/обратного счета)</w:t>
            </w:r>
          </w:p>
        </w:tc>
        <w:tc>
          <w:tcPr>
            <w:tcW w:w="13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bookmarkStart w:id="27" w:name="Par1444"/>
            <w:bookmarkEnd w:id="27"/>
            <w:r>
              <w:rPr>
                <w:rFonts w:ascii="Arial" w:hAnsi="Arial"/>
                <w:sz w:val="21"/>
                <w:szCs w:val="21"/>
              </w:rPr>
              <w:t>Весовой коэффициент</w:t>
            </w:r>
          </w:p>
        </w:tc>
        <w:tc>
          <w:tcPr>
            <w:tcW w:w="18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bookmarkStart w:id="28" w:name="Par1445"/>
            <w:bookmarkEnd w:id="28"/>
            <w:r>
              <w:rPr>
                <w:rFonts w:ascii="Arial" w:hAnsi="Arial"/>
                <w:sz w:val="21"/>
                <w:szCs w:val="21"/>
              </w:rPr>
              <w:t>Базовое значение показателя (факт, по отчету года, предшествующего году разработки программы)</w:t>
            </w:r>
          </w:p>
        </w:tc>
        <w:tc>
          <w:tcPr>
            <w:tcW w:w="138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bookmarkStart w:id="29" w:name="Par1446"/>
            <w:bookmarkEnd w:id="29"/>
            <w:r>
              <w:rPr>
                <w:rFonts w:ascii="Arial" w:hAnsi="Arial"/>
                <w:sz w:val="21"/>
                <w:szCs w:val="21"/>
              </w:rPr>
              <w:t>Оценка (по году, в котором осуществляется разработка программы)</w:t>
            </w:r>
          </w:p>
        </w:tc>
        <w:tc>
          <w:tcPr>
            <w:tcW w:w="25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Планируемый период</w:t>
            </w:r>
          </w:p>
        </w:tc>
        <w:tc>
          <w:tcPr>
            <w:tcW w:w="10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bookmarkStart w:id="30" w:name="Par1448"/>
            <w:bookmarkEnd w:id="30"/>
            <w:r>
              <w:rPr>
                <w:rFonts w:ascii="Arial" w:hAnsi="Arial"/>
                <w:sz w:val="21"/>
                <w:szCs w:val="21"/>
              </w:rPr>
              <w:t>Целевое значение показателя</w:t>
            </w:r>
          </w:p>
        </w:tc>
        <w:tc>
          <w:tcPr>
            <w:tcW w:w="1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Обоснование прогнозных и целевых значений</w:t>
            </w:r>
          </w:p>
        </w:tc>
        <w:tc>
          <w:tcPr>
            <w:tcW w:w="13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widowControl w:val="false"/>
              <w:bidi w:val="0"/>
              <w:ind w:left="0" w:right="283" w:hanging="0"/>
              <w:jc w:val="center"/>
              <w:rPr>
                <w:rFonts w:ascii="Arial" w:hAnsi="Arial"/>
                <w:sz w:val="21"/>
                <w:szCs w:val="21"/>
              </w:rPr>
            </w:pPr>
            <w:bookmarkStart w:id="31" w:name="Par1450"/>
            <w:bookmarkEnd w:id="31"/>
            <w:r>
              <w:rPr>
                <w:rFonts w:ascii="Arial" w:hAnsi="Arial"/>
                <w:sz w:val="21"/>
                <w:szCs w:val="21"/>
              </w:rPr>
              <w:t>Примечание</w:t>
            </w:r>
          </w:p>
        </w:tc>
      </w:tr>
      <w:tr>
        <w:trPr>
          <w:cantSplit w:val="true"/>
        </w:trPr>
        <w:tc>
          <w:tcPr>
            <w:tcW w:w="4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1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2017 год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2018 год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2019 год</w:t>
            </w:r>
          </w:p>
        </w:tc>
        <w:tc>
          <w:tcPr>
            <w:tcW w:w="108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5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3</w:t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6</w:t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9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11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12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13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Цель. </w:t>
            </w:r>
            <w:r>
              <w:rPr>
                <w:rFonts w:ascii="Arial" w:hAnsi="Arial"/>
                <w:bCs/>
                <w:sz w:val="21"/>
                <w:szCs w:val="21"/>
              </w:rPr>
              <w:t>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 района Тюменской области качественными товарами, услугами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 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bCs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Финансовые затраты по цели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454" w:hRule="atLeast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3.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sz w:val="21"/>
                <w:szCs w:val="21"/>
              </w:rPr>
              <w:t>Задача 1</w:t>
            </w:r>
            <w:r>
              <w:rPr>
                <w:rFonts w:ascii="Arial" w:hAnsi="Arial"/>
                <w:sz w:val="21"/>
                <w:szCs w:val="21"/>
              </w:rPr>
              <w:t>.Совершенствование государственной координации и нормативно-правового обеспечения в сфере торговли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4.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sz w:val="21"/>
                <w:szCs w:val="21"/>
              </w:rPr>
            </w:pPr>
            <w:r>
              <w:rPr>
                <w:rFonts w:ascii="Arial" w:hAnsi="Arial"/>
                <w:b/>
                <w:sz w:val="21"/>
                <w:szCs w:val="21"/>
              </w:rPr>
              <w:t>Финансирование задачи 1.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b/>
                <w:b/>
                <w:sz w:val="21"/>
                <w:szCs w:val="21"/>
              </w:rPr>
            </w:pPr>
            <w:r>
              <w:rPr>
                <w:rFonts w:ascii="Arial" w:hAnsi="Arial"/>
                <w:b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16,00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snapToGrid w:val="false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Задача 2</w:t>
            </w:r>
            <w:r>
              <w:rPr>
                <w:rFonts w:ascii="Arial" w:hAnsi="Arial"/>
                <w:bCs/>
                <w:sz w:val="21"/>
                <w:szCs w:val="21"/>
              </w:rPr>
              <w:t>. Повышение экономической и территориальной доступности товаров и услуг для населения Юргинского района Тюменской области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6.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sz w:val="21"/>
                <w:szCs w:val="21"/>
              </w:rPr>
              <w:t>Показатель1</w:t>
            </w:r>
            <w:r>
              <w:rPr>
                <w:rFonts w:ascii="Arial" w:hAnsi="Arial"/>
                <w:sz w:val="21"/>
                <w:szCs w:val="21"/>
              </w:rPr>
              <w:t>. Достижение установленного нормативами минимальной обеспеченности населения площадью торговых объектов по Юргинскому району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%</w:t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П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286</w:t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286</w:t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194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194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194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194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Целевое значение показателя установлено с учетом реальной динамики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7.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bCs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Финансовые затраты по задаче 2. 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138,00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138,00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138,00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8.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Задача 3</w:t>
            </w:r>
            <w:r>
              <w:rPr>
                <w:rFonts w:ascii="Arial" w:hAnsi="Arial"/>
                <w:bCs/>
                <w:sz w:val="21"/>
                <w:szCs w:val="21"/>
              </w:rPr>
              <w:t>.Содействие развитию инновационной и инвестиционной деятельности в сфере потребительского рынка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9.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sz w:val="21"/>
                <w:szCs w:val="21"/>
              </w:rPr>
              <w:t xml:space="preserve">Показатель1. </w:t>
            </w:r>
            <w:r>
              <w:rPr>
                <w:rFonts w:ascii="Arial" w:hAnsi="Arial"/>
                <w:sz w:val="21"/>
                <w:szCs w:val="21"/>
              </w:rPr>
              <w:t>Количество объектов потребительского рынка различных форматов в Юргинском районе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ед.</w:t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П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</w:t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</w:t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155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155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 xml:space="preserve">Целевое значение показателя установлено с учетом положительной динамики открытия новых объектов потребительского рынка ЮМР 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10.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bCs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Финансовые затраты по задаче 3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11.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Задача 4. </w:t>
            </w:r>
            <w:r>
              <w:rPr>
                <w:rFonts w:ascii="Arial" w:hAnsi="Arial"/>
                <w:bCs/>
                <w:sz w:val="21"/>
                <w:szCs w:val="21"/>
              </w:rPr>
              <w:t>Создание условий для продвижения продукции тюменских товаропроизводителей на региональном и внерегиональном уровне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12.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bCs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Финансовые затраты по задаче 4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13.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Задача 5. </w:t>
            </w:r>
            <w:r>
              <w:rPr>
                <w:rFonts w:ascii="Arial" w:hAnsi="Arial"/>
                <w:bCs/>
                <w:sz w:val="21"/>
                <w:szCs w:val="21"/>
              </w:rPr>
              <w:t>Создание условий для повышения качества реализуемых товаров (оказываемых услуг) и защиты прав потребителей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14.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bCs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Финансовые затраты по задаче 5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15.</w:t>
            </w:r>
          </w:p>
        </w:tc>
        <w:tc>
          <w:tcPr>
            <w:tcW w:w="153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Задача 6. </w:t>
            </w:r>
            <w:r>
              <w:rPr>
                <w:rFonts w:ascii="Arial" w:hAnsi="Arial"/>
                <w:bCs/>
                <w:sz w:val="21"/>
                <w:szCs w:val="21"/>
              </w:rPr>
              <w:t>Развитие системы подготовки профессиональных кадров и укрепление кадрового потенциала в сфере потребительского рынка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 xml:space="preserve"> </w:t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16.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rFonts w:ascii="Arial" w:hAnsi="Arial"/>
                <w:b/>
                <w:b/>
                <w:bCs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Финансовые затраты по задаче 6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snapToGrid w:val="false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17.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Итого финансирование по 1 цели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18.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Итого финансирование по программе: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/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19.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в т.ч. средства местного бюджета</w:t>
            </w:r>
          </w:p>
        </w:tc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153,00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154,00</w:t>
            </w:r>
          </w:p>
        </w:tc>
        <w:tc>
          <w:tcPr>
            <w:tcW w:w="1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snapToGrid w:val="false"/>
              <w:ind w:left="0" w:right="0" w:hanging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</w:tbl>
    <w:p>
      <w:pPr>
        <w:pStyle w:val="ConsPlus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Руководитель   структурного подразделения Администрации Юргинского муниципального района _________________________</w:t>
      </w:r>
    </w:p>
    <w:p>
      <w:pPr>
        <w:pStyle w:val="ConsPlusNonformat"/>
        <w:jc w:val="both"/>
        <w:rPr/>
      </w:pPr>
      <w:r>
        <w:rPr/>
        <w:t xml:space="preserve">                                                                                                 </w:t>
      </w:r>
      <w:r>
        <w:rPr/>
        <w:t>(подпись)</w:t>
      </w:r>
    </w:p>
    <w:p>
      <w:pPr>
        <w:pStyle w:val="ConsPlusNonformat"/>
        <w:jc w:val="both"/>
        <w:rPr/>
      </w:pPr>
      <w:r>
        <w:rPr/>
        <w:t>Исполнитель _____________________________, телефон ________________________</w:t>
      </w:r>
    </w:p>
    <w:p>
      <w:pPr>
        <w:sectPr>
          <w:type w:val="nextPage"/>
          <w:pgSz w:orient="landscape" w:w="16838" w:h="11906"/>
          <w:pgMar w:left="1440" w:right="1440" w:header="0" w:top="1133" w:footer="0" w:bottom="566" w:gutter="0"/>
          <w:pgNumType w:fmt="decimal"/>
          <w:formProt w:val="false"/>
          <w:textDirection w:val="lrTb"/>
          <w:docGrid w:type="default" w:linePitch="360" w:charSpace="4294961151"/>
        </w:sectPr>
        <w:pStyle w:val="ConsPlusNonformat"/>
        <w:jc w:val="both"/>
        <w:rPr/>
      </w:pPr>
      <w:r>
        <w:rPr/>
        <w:t xml:space="preserve">                    </w:t>
      </w:r>
      <w:r>
        <w:rPr/>
        <w:t>(подпись)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N 5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 «Развитие торговли в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jc w:val="center"/>
        <w:rPr>
          <w:sz w:val="26"/>
          <w:szCs w:val="26"/>
        </w:rPr>
      </w:pPr>
      <w:bookmarkStart w:id="32" w:name="Par1965"/>
      <w:bookmarkStart w:id="33" w:name="Par1965"/>
      <w:bookmarkEnd w:id="33"/>
      <w:r>
        <w:rPr>
          <w:sz w:val="26"/>
          <w:szCs w:val="26"/>
        </w:rPr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МОНИТОРИНГ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реализации муниципальной программы «Развитие торговли в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программы)</w:t>
      </w:r>
    </w:p>
    <w:p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ind w:left="0" w:right="0"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Муниципальный заказчик (муниципальный заказчик-координатор)</w:t>
      </w:r>
    </w:p>
    <w:p>
      <w:pPr>
        <w:pStyle w:val="ConsPlusNormal"/>
        <w:ind w:left="0" w:right="0" w:firstLine="540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Юргинского муниципального района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1 полугодие-до 20 августа, годовой – до 15 марта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(сроки предоставления отчетов о достижении значений показателей муниципальными заказчиками (муниципальными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заказчиками-координаторами программ) в отдел экономики </w:t>
      </w:r>
    </w:p>
    <w:p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Юргинского муниципального района)</w:t>
      </w:r>
    </w:p>
    <w:p>
      <w:pPr>
        <w:pStyle w:val="ConsPlusNormal"/>
        <w:jc w:val="both"/>
        <w:rPr/>
      </w:pPr>
      <w:r>
        <w:rPr/>
      </w:r>
    </w:p>
    <w:tbl>
      <w:tblPr>
        <w:tblW w:w="14639" w:type="dxa"/>
        <w:jc w:val="left"/>
        <w:tblInd w:w="5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2" w:type="dxa"/>
          <w:bottom w:w="102" w:type="dxa"/>
          <w:right w:w="62" w:type="dxa"/>
        </w:tblCellMar>
      </w:tblPr>
      <w:tblGrid>
        <w:gridCol w:w="475"/>
        <w:gridCol w:w="1786"/>
        <w:gridCol w:w="1796"/>
        <w:gridCol w:w="1668"/>
        <w:gridCol w:w="1117"/>
        <w:gridCol w:w="2639"/>
        <w:gridCol w:w="1498"/>
        <w:gridCol w:w="2100"/>
        <w:gridCol w:w="1560"/>
      </w:tblGrid>
      <w:tr>
        <w:trPr>
          <w:cantSplit w:val="true"/>
        </w:trPr>
        <w:tc>
          <w:tcPr>
            <w:tcW w:w="4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7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Назначение и характеристика показателя</w:t>
            </w:r>
          </w:p>
        </w:tc>
        <w:tc>
          <w:tcPr>
            <w:tcW w:w="16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bookmarkStart w:id="34" w:name="Par1985"/>
            <w:bookmarkEnd w:id="34"/>
            <w:r>
              <w:rPr/>
              <w:t>Направленность показателя (прямого/ обратного счета)</w:t>
            </w:r>
          </w:p>
        </w:tc>
        <w:tc>
          <w:tcPr>
            <w:tcW w:w="525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Получение информации мун. заказчиками</w:t>
            </w:r>
          </w:p>
        </w:tc>
        <w:tc>
          <w:tcPr>
            <w:tcW w:w="21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Алгоритм расчета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Периодичность мониторинга</w:t>
            </w:r>
          </w:p>
        </w:tc>
      </w:tr>
      <w:tr>
        <w:trPr>
          <w:cantSplit w:val="true"/>
        </w:trPr>
        <w:tc>
          <w:tcPr>
            <w:tcW w:w="47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8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6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источники получения</w:t>
            </w:r>
          </w:p>
        </w:tc>
        <w:tc>
          <w:tcPr>
            <w:tcW w:w="2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вид информации (ведомственная/ статистическая), наименование отчетной формы</w:t>
            </w:r>
          </w:p>
        </w:tc>
        <w:tc>
          <w:tcPr>
            <w:tcW w:w="1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сроки получения информации</w:t>
            </w:r>
          </w:p>
        </w:tc>
        <w:tc>
          <w:tcPr>
            <w:tcW w:w="21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>
                <w:color w:val="000000"/>
              </w:rPr>
              <w:t>Достижение установленного норматива минимальной обеспеченности  населения площадью торговых объектов по району, %</w:t>
            </w:r>
          </w:p>
        </w:tc>
        <w:tc>
          <w:tcPr>
            <w:tcW w:w="1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>
                <w:color w:val="000000"/>
              </w:rPr>
              <w:t>Относительный показатель, характеризующий достижение  норматива минимальной  обеспеченности населения площадью торговых объектов по району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П</w:t>
            </w:r>
          </w:p>
        </w:tc>
        <w:tc>
          <w:tcPr>
            <w:tcW w:w="1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2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Ведомственная, с учетом отдела экономики по форме разработанной Управлением лицензирования и регулирования потребительского рынка Тюменской области  Информация о наличии объектов розничной торговли на территории муниципального образования</w:t>
            </w:r>
          </w:p>
        </w:tc>
        <w:tc>
          <w:tcPr>
            <w:tcW w:w="1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Один раз в год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/>
            </w:pPr>
            <w:r>
              <w:rPr>
                <w:sz w:val="20"/>
                <w:szCs w:val="20"/>
              </w:rPr>
              <w:t xml:space="preserve">При условии достижения (превышения) обеспеченности населения площадью торговых объектов установленного норматива минимальной обеспеченности населения площадью торговых объектов по Тюменской области (без АО), значение показателя принимается за 100%.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Перерасчет норматива обеспеченности площадью торговых объектов производится ежегодно. Алгоритм расчета: </w:t>
            </w:r>
          </w:p>
          <w:p>
            <w:pPr>
              <w:pStyle w:val="Default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Dнорм = S сумма торг.пл. P числен.нас/ ./ N норм .Х 100%,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где: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Dнорм – </w:t>
            </w:r>
            <w:r>
              <w:rPr>
                <w:sz w:val="20"/>
                <w:szCs w:val="20"/>
              </w:rPr>
              <w:t xml:space="preserve">достижение норматива, %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S сумма торг.пл. – </w:t>
            </w:r>
            <w:r>
              <w:rPr>
                <w:sz w:val="20"/>
                <w:szCs w:val="20"/>
              </w:rPr>
              <w:t xml:space="preserve">сумма торговых площадей в отчетном периоде, кв.м.;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>P числен.нас –</w:t>
            </w:r>
            <w:r>
              <w:rPr>
                <w:sz w:val="20"/>
                <w:szCs w:val="20"/>
              </w:rPr>
              <w:t xml:space="preserve">среднегодовая численность населения в Тюменской области (без автономных округов), чел.;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N норм. – </w:t>
            </w:r>
            <w:r>
              <w:rPr>
                <w:sz w:val="20"/>
                <w:szCs w:val="20"/>
              </w:rPr>
              <w:t>установленный норматив минимальной обеспеченности населения площадью торговых на 2013-2015 г.г., кв.м. на 1,0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тыс.человек 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Периодичность мониторинга годовая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объектов потребительского рынка различных форматов в ЮМР, ед. </w:t>
            </w:r>
          </w:p>
          <w:p>
            <w:pPr>
              <w:pStyle w:val="ConsPlusNormal"/>
              <w:ind w:left="0" w:right="0" w:hanging="0"/>
              <w:jc w:val="both"/>
              <w:rPr/>
            </w:pPr>
            <w:r>
              <w:rPr/>
            </w:r>
          </w:p>
        </w:tc>
        <w:tc>
          <w:tcPr>
            <w:tcW w:w="1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Показатель, характеризующий общее количество объектов потребительского рынка различных форматов в районе в отчетном периоде 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jc w:val="center"/>
              <w:rPr/>
            </w:pPr>
            <w:r>
              <w:rPr/>
              <w:t>П</w:t>
            </w:r>
          </w:p>
        </w:tc>
        <w:tc>
          <w:tcPr>
            <w:tcW w:w="1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ConsPlusNormal"/>
              <w:ind w:left="0" w:right="0" w:hanging="0"/>
              <w:rPr/>
            </w:pPr>
            <w:r>
              <w:rPr/>
              <w:t>Отдел экономики</w:t>
            </w:r>
          </w:p>
        </w:tc>
        <w:tc>
          <w:tcPr>
            <w:tcW w:w="2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Ведомственная, с учетом сведений органов местного самоуправления по формам разработанным Управлением лицензирования и регулирования потребительского рынка Тюменской области: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«Информация о наличии объектов розничной торговли на территории муниципального образования, Перечень предприятий оптовой торговли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территории муниципального образования»,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«Информация о предприятиях общественного питания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территории муниципального образования», «Информация об организациях, индивидуальных предпринимателях,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осуществляющих деятельность в сфере бытового обслуживания населения, на территории муниципального образования», </w:t>
            </w:r>
          </w:p>
          <w:p>
            <w:pPr>
              <w:pStyle w:val="ConsPlusNormal"/>
              <w:ind w:left="0" w:right="0" w:hanging="0"/>
              <w:rPr/>
            </w:pPr>
            <w:r>
              <w:rPr/>
              <w:t xml:space="preserve">«Сведения о розничных рынках, осуществляющих деятельность на территории муниципального образования» </w:t>
            </w:r>
          </w:p>
        </w:tc>
        <w:tc>
          <w:tcPr>
            <w:tcW w:w="1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раз в год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Совокупность объектов потребительского рынка различных форматов Тюменской области в разрезе муниципальных образований за год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Алгоритм расчета: </w:t>
            </w:r>
          </w:p>
          <w:p>
            <w:pPr>
              <w:pStyle w:val="Default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 опр= Коот+Корт+Крр+ </w:t>
            </w:r>
          </w:p>
          <w:p>
            <w:pPr>
              <w:pStyle w:val="Default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Кооп+Кобу; </w:t>
            </w:r>
          </w:p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где: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К опр </w:t>
            </w:r>
            <w:r>
              <w:rPr>
                <w:sz w:val="20"/>
                <w:szCs w:val="20"/>
              </w:rPr>
              <w:t xml:space="preserve">– количество объектов потребительского рынка в отчетном периоде, ед.;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Коот – </w:t>
            </w:r>
            <w:r>
              <w:rPr>
                <w:sz w:val="20"/>
                <w:szCs w:val="20"/>
              </w:rPr>
              <w:t xml:space="preserve">количество объектов оптовой торговли в отчетном периоде, ед.;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Корт – </w:t>
            </w:r>
            <w:r>
              <w:rPr>
                <w:sz w:val="20"/>
                <w:szCs w:val="20"/>
              </w:rPr>
              <w:t>количество объектов розничной торговли в отчетном периоде, ед.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Крр – </w:t>
            </w:r>
            <w:r>
              <w:rPr>
                <w:sz w:val="20"/>
                <w:szCs w:val="20"/>
              </w:rPr>
              <w:t xml:space="preserve">количество розничных рынков в отчетном периоде, ед.;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Кооп – </w:t>
            </w:r>
            <w:r>
              <w:rPr>
                <w:sz w:val="20"/>
                <w:szCs w:val="20"/>
              </w:rPr>
              <w:t xml:space="preserve">количество объектов общественного питания в отчетном периоде, ед; </w:t>
            </w:r>
          </w:p>
          <w:p>
            <w:pPr>
              <w:pStyle w:val="Default"/>
              <w:rPr/>
            </w:pPr>
            <w:r>
              <w:rPr>
                <w:i/>
                <w:iCs/>
                <w:sz w:val="20"/>
                <w:szCs w:val="20"/>
              </w:rPr>
              <w:t xml:space="preserve">Кобу – количество </w:t>
            </w:r>
            <w:r>
              <w:rPr>
                <w:sz w:val="20"/>
                <w:szCs w:val="20"/>
              </w:rPr>
              <w:t>объектов сферы бытовых услуг, ед.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52" w:type="dxa"/>
            </w:tcMar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Периодичность мониторинга – годовая 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Руководитель  структурного подразделения Администрации Юргинского муниципального района ______________________________</w:t>
      </w:r>
    </w:p>
    <w:p>
      <w:pPr>
        <w:pStyle w:val="ConsPlusNonformat"/>
        <w:jc w:val="both"/>
        <w:rPr/>
      </w:pPr>
      <w:r>
        <w:rPr/>
        <w:t xml:space="preserve">          </w:t>
      </w:r>
      <w:r>
        <w:rPr/>
        <w:t>(подпись)</w:t>
      </w:r>
    </w:p>
    <w:p>
      <w:pPr>
        <w:pStyle w:val="ConsPlusNonformat"/>
        <w:jc w:val="both"/>
        <w:rPr/>
      </w:pPr>
      <w:r>
        <w:rPr/>
        <w:t>Исполнитель _____________________________, телефон ________________________</w:t>
      </w:r>
    </w:p>
    <w:p>
      <w:pPr>
        <w:pStyle w:val="ConsPlusNonformat"/>
        <w:jc w:val="both"/>
        <w:rPr/>
      </w:pPr>
      <w:r>
        <w:rPr/>
        <w:t xml:space="preserve">                        </w:t>
      </w:r>
      <w:r>
        <w:rPr/>
        <w:t>(подпись)</w:t>
      </w:r>
    </w:p>
    <w:p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onsPlusNonformat"/>
        <w:jc w:val="both"/>
        <w:rPr/>
      </w:pPr>
      <w:r>
        <w:rPr/>
        <w:t xml:space="preserve">Примечание.  В  </w:t>
      </w:r>
      <w:hyperlink w:anchor="Par1985">
        <w:r>
          <w:rPr>
            <w:rStyle w:val="Style15"/>
          </w:rPr>
          <w:t>графе</w:t>
        </w:r>
      </w:hyperlink>
      <w:r>
        <w:rPr/>
        <w:t>"Направленность показателя (прямого/обратного счета)"</w:t>
      </w:r>
    </w:p>
    <w:p>
      <w:pPr>
        <w:pStyle w:val="ConsPlusNonformat"/>
        <w:jc w:val="both"/>
        <w:rPr/>
      </w:pPr>
      <w:r>
        <w:rPr/>
        <w:t>необходимо  указать:  показатель  прямого счета - "П"; показатель обратного</w:t>
      </w:r>
    </w:p>
    <w:p>
      <w:pPr>
        <w:pStyle w:val="ConsPlusNonformat"/>
        <w:jc w:val="both"/>
        <w:rPr/>
      </w:pPr>
      <w:r>
        <w:rPr/>
        <w:t>счета - "О".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right="0" w:firstLine="72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N6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 «Развитие торговли в</w:t>
      </w:r>
    </w:p>
    <w:p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Юргинском муниципальном районе на 2017-2019 годы»</w:t>
      </w:r>
    </w:p>
    <w:p>
      <w:pPr>
        <w:pStyle w:val="NormalWeb"/>
        <w:spacing w:before="0" w:after="0"/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</w:r>
    </w:p>
    <w:p>
      <w:pPr>
        <w:pStyle w:val="NormalWeb"/>
        <w:spacing w:before="0" w:after="0"/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 xml:space="preserve">ПАСПОРТ </w:t>
      </w:r>
    </w:p>
    <w:p>
      <w:pPr>
        <w:pStyle w:val="NormalWeb"/>
        <w:spacing w:before="0" w:after="0"/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Муниципальной программы «Развитие торговли в Юргинском муниципальном районе</w:t>
      </w:r>
    </w:p>
    <w:p>
      <w:pPr>
        <w:pStyle w:val="NormalWeb"/>
        <w:spacing w:before="0" w:after="0"/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на 2017-2019 годы»</w:t>
      </w:r>
    </w:p>
    <w:p>
      <w:pPr>
        <w:pStyle w:val="NormalWeb"/>
        <w:spacing w:before="0" w:after="0"/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</w:r>
    </w:p>
    <w:tbl>
      <w:tblPr>
        <w:tblW w:w="14168" w:type="dxa"/>
        <w:jc w:val="left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227"/>
        <w:gridCol w:w="10941"/>
      </w:tblGrid>
      <w:tr>
        <w:trPr>
          <w:trHeight w:val="1492" w:hRule="atLeast"/>
        </w:trPr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Дата и номер принятия правового акта о разработке Программы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120" w:after="1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Постановление администрации Юргинского муниципального района от 28.04.2016 № 467-п «О разработке прогноза социально-экономического развития Юргинского муниципального района и проекта Решения Думы «О бюджете Юргинского муниципального района на 2017 год и на плановый период 2018 и 2019 годов», Распоряжение администрации Юргинского муниципального района от 16.09.2016 № 102-р «О разработке муниципальных программ»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Дата и номер правового акта об утверждении Программы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Постановление администрации Юргинского муниципального района от 01 декабря 2016 № 1396-п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 xml:space="preserve">Муниципальный заказчик – координатор Программы 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Администрация Юргинского муниципального района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Муниципальный заказчик Программы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Администрация Юргинского муниципального района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Разработчик Программы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Отдел экономики администрации Юргинского муниципального района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napToGrid w:val="false"/>
              <w:spacing w:before="0" w:after="28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Цель Программы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ListParagraph"/>
              <w:widowControl w:val="false"/>
              <w:ind w:left="0" w:right="0" w:hanging="0"/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Создание условий для комплексного развития сферы потребительского рынка, эффективной, доступной защиты прав потребителей и обеспечения населения Юргинского района Тюменской области качественными товарами, услугами</w:t>
            </w:r>
          </w:p>
        </w:tc>
      </w:tr>
      <w:tr>
        <w:trPr>
          <w:trHeight w:val="70" w:hRule="atLeast"/>
        </w:trPr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Задачи Программы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ConsPlusNormal"/>
              <w:numPr>
                <w:ilvl w:val="0"/>
                <w:numId w:val="0"/>
              </w:numPr>
              <w:ind w:left="1560" w:righ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 Совершенствование государственной координации и нормативно-правового обеспечения в сфере торговли.</w:t>
            </w:r>
          </w:p>
          <w:p>
            <w:pPr>
              <w:pStyle w:val="ConsPlusNormal"/>
              <w:numPr>
                <w:ilvl w:val="0"/>
                <w:numId w:val="0"/>
              </w:numPr>
              <w:ind w:left="1560" w:righ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   Повышение экономической и территориальной доступности товаров и услуг для населения Юргинского района Тюменской области.</w:t>
            </w:r>
          </w:p>
          <w:p>
            <w:pPr>
              <w:pStyle w:val="ConsPlusNormal"/>
              <w:numPr>
                <w:ilvl w:val="0"/>
                <w:numId w:val="0"/>
              </w:numPr>
              <w:ind w:left="1560" w:righ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 Содействие развитию инновационной и инвестиционной деятельности в сфере потребительского рынка.</w:t>
            </w:r>
          </w:p>
          <w:p>
            <w:pPr>
              <w:pStyle w:val="ConsPlusNormal"/>
              <w:numPr>
                <w:ilvl w:val="0"/>
                <w:numId w:val="0"/>
              </w:numPr>
              <w:ind w:left="1560" w:righ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  Создание условий для продвижения продукции тюменских товаропроизводителей на региональном и внерегиональном уровне.</w:t>
            </w:r>
          </w:p>
          <w:p>
            <w:pPr>
              <w:pStyle w:val="ConsPlusNormal"/>
              <w:numPr>
                <w:ilvl w:val="0"/>
                <w:numId w:val="0"/>
              </w:numPr>
              <w:ind w:left="1560" w:righ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 Создание условий для повышения качества реализуемых товаров (оказываемых услуг) и защиты прав потребителей.</w:t>
            </w:r>
          </w:p>
          <w:p>
            <w:pPr>
              <w:pStyle w:val="ConsPlusNormal"/>
              <w:numPr>
                <w:ilvl w:val="0"/>
                <w:numId w:val="0"/>
              </w:numPr>
              <w:ind w:left="1560" w:righ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 Развитие системы подготовки профессиональных кадров и укрепление кадрового потенциала в сфере потребительского рынка.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120" w:after="12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Сроки реализации Программы</w:t>
            </w:r>
          </w:p>
          <w:p>
            <w:pPr>
              <w:pStyle w:val="NormalWeb"/>
              <w:spacing w:before="120" w:after="12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  <w:p>
            <w:pPr>
              <w:pStyle w:val="NormalWeb"/>
              <w:spacing w:before="120" w:after="12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120" w:after="12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2017-2019 годы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Объемы и источники финансирования программы (с разбивкой по годам)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Финансирование местного бюджета:</w:t>
            </w:r>
          </w:p>
          <w:p>
            <w:pPr>
              <w:pStyle w:val="NormalWeb"/>
              <w:spacing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2017 г.-153,00 тыс.руб.,2018г.-153,00.,2019г.-154,00.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280" w:after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Ожидаемые конечные результаты реализации программы и показатели эффекта</w:t>
            </w:r>
          </w:p>
        </w:tc>
        <w:tc>
          <w:tcPr>
            <w:tcW w:w="10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color w:val="000000"/>
                <w:sz w:val="26"/>
                <w:szCs w:val="26"/>
              </w:rPr>
              <w:t>Достижение к 2019 году установленных нормативов минимальной обеспеченности населения площадью торговых объектов по району</w:t>
            </w:r>
          </w:p>
        </w:tc>
      </w:tr>
    </w:tbl>
    <w:p>
      <w:pPr>
        <w:pStyle w:val="ConsPlusNonformat"/>
        <w:jc w:val="both"/>
        <w:rPr/>
      </w:pPr>
      <w:r>
        <w:rPr/>
      </w:r>
    </w:p>
    <w:sectPr>
      <w:type w:val="nextPage"/>
      <w:pgSz w:orient="landscape" w:w="16838" w:h="11906"/>
      <w:pgMar w:left="1701" w:right="1134" w:header="0" w:top="1134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Book Antiqua">
    <w:charset w:val="cc"/>
    <w:family w:val="roman"/>
    <w:pitch w:val="variable"/>
  </w:font>
  <w:font w:name="Cambria"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2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bidi="ar-SA" w:val="ru-RU" w:eastAsia="zh-CN"/>
    </w:rPr>
  </w:style>
  <w:style w:type="paragraph" w:styleId="1">
    <w:name w:val="Heading 1"/>
    <w:basedOn w:val="Normal"/>
    <w:qFormat/>
    <w:pPr>
      <w:keepNext/>
      <w:numPr>
        <w:ilvl w:val="0"/>
        <w:numId w:val="1"/>
      </w:numPr>
      <w:jc w:val="center"/>
      <w:outlineLvl w:val="0"/>
      <w:outlineLvl w:val="0"/>
    </w:pPr>
    <w:rPr>
      <w:rFonts w:ascii="Book Antiqua" w:hAnsi="Book Antiqua" w:cs="Book Antiqua"/>
      <w:b/>
      <w:bCs/>
      <w:sz w:val="32"/>
    </w:rPr>
  </w:style>
  <w:style w:type="paragraph" w:styleId="2">
    <w:name w:val="Heading 2"/>
    <w:basedOn w:val="Normal"/>
    <w:qFormat/>
    <w:pPr>
      <w:keepNext/>
      <w:numPr>
        <w:ilvl w:val="1"/>
        <w:numId w:val="1"/>
      </w:numPr>
      <w:spacing w:before="240" w:after="60"/>
      <w:outlineLvl w:val="1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Times New Roman" w:hAnsi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10z0">
    <w:name w:val="WW8Num10z0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rFonts w:ascii="Symbol" w:hAnsi="Symbol" w:cs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0">
    <w:name w:val="WW8Num14z0"/>
    <w:qFormat/>
    <w:rPr>
      <w:i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Symbol" w:hAnsi="Symbol" w:cs="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Symbol" w:hAnsi="Symbol" w:cs="Symbol"/>
    </w:rPr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>
      <w:rFonts w:ascii="Symbol" w:hAnsi="Symbol" w:cs="Symbol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4z0">
    <w:name w:val="WW8Num24z0"/>
    <w:qFormat/>
    <w:rPr>
      <w:rFonts w:ascii="Times New Roman" w:hAnsi="Times New Roman" w:cs="Times New Roman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</w:rPr>
  </w:style>
  <w:style w:type="character" w:styleId="WW8Num30z0">
    <w:name w:val="WW8Num30z0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2z0">
    <w:name w:val="WW8Num32z0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WW8NumSt3z0">
    <w:name w:val="WW8NumSt3z0"/>
    <w:qFormat/>
    <w:rPr>
      <w:rFonts w:ascii="Times New Roman" w:hAnsi="Times New Roman" w:cs="Times New Roman"/>
    </w:rPr>
  </w:style>
  <w:style w:type="character" w:styleId="6">
    <w:name w:val="Знак Знак6"/>
    <w:basedOn w:val="DefaultParagraphFont"/>
    <w:qFormat/>
    <w:rPr>
      <w:rFonts w:ascii="Cambria" w:hAnsi="Cambria" w:cs="Cambria"/>
      <w:b/>
      <w:bCs/>
      <w:i/>
      <w:iCs/>
      <w:sz w:val="28"/>
      <w:szCs w:val="28"/>
    </w:rPr>
  </w:style>
  <w:style w:type="character" w:styleId="5">
    <w:name w:val="Знак Знак5"/>
    <w:basedOn w:val="DefaultParagraphFont"/>
    <w:qFormat/>
    <w:rPr>
      <w:rFonts w:ascii="Courier New" w:hAnsi="Courier New" w:cs="Courier New"/>
    </w:rPr>
  </w:style>
  <w:style w:type="character" w:styleId="Bodytext">
    <w:name w:val="body_text Знак Знак Знак Знак"/>
    <w:qFormat/>
    <w:rPr>
      <w:bCs/>
      <w:sz w:val="24"/>
      <w:szCs w:val="24"/>
      <w:lang w:bidi="ar-SA"/>
    </w:rPr>
  </w:style>
  <w:style w:type="character" w:styleId="Style12">
    <w:name w:val="Наименование таблицы Знак Знак"/>
    <w:qFormat/>
    <w:rPr>
      <w:b/>
      <w:bCs/>
      <w:sz w:val="22"/>
      <w:szCs w:val="22"/>
      <w:lang w:bidi="ar-SA"/>
    </w:rPr>
  </w:style>
  <w:style w:type="character" w:styleId="4">
    <w:name w:val="Знак Знак4"/>
    <w:basedOn w:val="DefaultParagraphFont"/>
    <w:qFormat/>
    <w:rPr>
      <w:sz w:val="24"/>
      <w:szCs w:val="24"/>
    </w:rPr>
  </w:style>
  <w:style w:type="character" w:styleId="Style13">
    <w:name w:val="Выделение жирным"/>
    <w:qFormat/>
    <w:rPr>
      <w:b/>
      <w:bCs/>
    </w:rPr>
  </w:style>
  <w:style w:type="character" w:styleId="3">
    <w:name w:val="Знак Знак3"/>
    <w:basedOn w:val="DefaultParagraphFont"/>
    <w:qFormat/>
    <w:rPr>
      <w:sz w:val="24"/>
      <w:szCs w:val="24"/>
    </w:rPr>
  </w:style>
  <w:style w:type="character" w:styleId="Pagenumber">
    <w:name w:val="page number"/>
    <w:basedOn w:val="DefaultParagraphFont"/>
    <w:qFormat/>
    <w:rPr/>
  </w:style>
  <w:style w:type="character" w:styleId="Spelle">
    <w:name w:val="spelle"/>
    <w:basedOn w:val="DefaultParagraphFont"/>
    <w:qFormat/>
    <w:rPr/>
  </w:style>
  <w:style w:type="character" w:styleId="Grame">
    <w:name w:val="grame"/>
    <w:basedOn w:val="DefaultParagraphFont"/>
    <w:qFormat/>
    <w:rPr/>
  </w:style>
  <w:style w:type="character" w:styleId="21">
    <w:name w:val="Знак Знак2"/>
    <w:basedOn w:val="DefaultParagraphFont"/>
    <w:qFormat/>
    <w:rPr>
      <w:sz w:val="24"/>
      <w:szCs w:val="24"/>
    </w:rPr>
  </w:style>
  <w:style w:type="character" w:styleId="11">
    <w:name w:val="Знак Знак1"/>
    <w:basedOn w:val="DefaultParagraphFont"/>
    <w:qFormat/>
    <w:rPr>
      <w:b/>
      <w:bCs/>
      <w:sz w:val="32"/>
      <w:szCs w:val="24"/>
    </w:rPr>
  </w:style>
  <w:style w:type="character" w:styleId="Style14">
    <w:name w:val="Знак Знак"/>
    <w:basedOn w:val="DefaultParagraphFont"/>
    <w:qFormat/>
    <w:rPr>
      <w:b/>
      <w:bCs/>
      <w:sz w:val="36"/>
      <w:szCs w:val="24"/>
    </w:rPr>
  </w:style>
  <w:style w:type="character" w:styleId="Style15">
    <w:name w:val="Интернет-ссылка"/>
    <w:basedOn w:val="DefaultParagraphFont"/>
    <w:rPr>
      <w:color w:val="0000FF"/>
      <w:u w:val="single"/>
    </w:rPr>
  </w:style>
  <w:style w:type="character" w:styleId="ListLabel1">
    <w:name w:val="ListLabel 1"/>
    <w:qFormat/>
    <w:rPr>
      <w:rFonts w:eastAsia="Times New Roman" w:cs="Arial"/>
      <w:sz w:val="26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eastAsia="Times New Roman" w:cs="Aria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eastAsia="Times New Roman" w:cs="Arial"/>
      <w:sz w:val="26"/>
    </w:rPr>
  </w:style>
  <w:style w:type="paragraph" w:styleId="Style16">
    <w:name w:val="Заголовок"/>
    <w:basedOn w:val="Normal"/>
    <w:next w:val="Style17"/>
    <w:qFormat/>
    <w:pPr>
      <w:jc w:val="center"/>
    </w:pPr>
    <w:rPr>
      <w:b/>
      <w:bCs/>
      <w:sz w:val="32"/>
    </w:rPr>
  </w:style>
  <w:style w:type="paragraph" w:styleId="Style17">
    <w:name w:val="Body Text"/>
    <w:basedOn w:val="Normal"/>
    <w:pPr>
      <w:jc w:val="both"/>
    </w:pPr>
    <w:rPr>
      <w:sz w:val="28"/>
      <w:szCs w:val="20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PlusNormal">
    <w:name w:val="ConsPlusNormal"/>
    <w:qFormat/>
    <w:pPr>
      <w:widowControl w:val="false"/>
      <w:kinsoku w:val="true"/>
      <w:overflowPunct w:val="true"/>
      <w:autoSpaceDE w:val="true"/>
      <w:bidi w:val="0"/>
      <w:ind w:left="0" w:right="0" w:firstLine="720"/>
      <w:jc w:val="left"/>
    </w:pPr>
    <w:rPr>
      <w:rFonts w:ascii="Arial" w:hAnsi="Arial" w:eastAsia="Times New Roman" w:cs="Arial"/>
      <w:color w:val="auto"/>
      <w:sz w:val="24"/>
      <w:szCs w:val="20"/>
      <w:lang w:bidi="ar-SA" w:val="ru-RU" w:eastAsia="zh-CN"/>
    </w:rPr>
  </w:style>
  <w:style w:type="paragraph" w:styleId="BodyTextIndent2">
    <w:name w:val="Body Text Indent 2"/>
    <w:basedOn w:val="Normal"/>
    <w:qFormat/>
    <w:pPr>
      <w:spacing w:lineRule="auto" w:line="360"/>
      <w:ind w:left="348" w:right="0" w:hanging="0"/>
    </w:pPr>
    <w:rPr>
      <w:rFonts w:ascii="Arial" w:hAnsi="Arial" w:cs="Arial"/>
    </w:rPr>
  </w:style>
  <w:style w:type="paragraph" w:styleId="ConsPlusTitle">
    <w:name w:val="ConsPlusTitle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Arial" w:hAnsi="Arial" w:eastAsia="Times New Roman" w:cs="Arial"/>
      <w:b/>
      <w:bCs/>
      <w:color w:val="auto"/>
      <w:sz w:val="24"/>
      <w:szCs w:val="20"/>
      <w:lang w:bidi="ar-SA" w:val="ru-RU" w:eastAsia="zh-CN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1">
    <w:name w:val="Ñîäåðæ"/>
    <w:basedOn w:val="Normal"/>
    <w:qFormat/>
    <w:pPr>
      <w:widowControl w:val="false"/>
      <w:overflowPunct w:val="true"/>
      <w:spacing w:before="0" w:after="120"/>
      <w:jc w:val="center"/>
    </w:pPr>
    <w:rPr>
      <w:sz w:val="28"/>
      <w:szCs w:val="20"/>
    </w:rPr>
  </w:style>
  <w:style w:type="paragraph" w:styleId="HTMLPreformatted">
    <w:name w:val="HTML Preformatted"/>
    <w:basedOn w:val="Normal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22">
    <w:name w:val="Знак"/>
    <w:basedOn w:val="Normal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12">
    <w:name w:val="заголовок 1"/>
    <w:basedOn w:val="Normal"/>
    <w:qFormat/>
    <w:pPr>
      <w:keepNext/>
      <w:jc w:val="center"/>
    </w:pPr>
    <w:rPr>
      <w:b/>
      <w:color w:val="000000"/>
      <w:sz w:val="20"/>
    </w:rPr>
  </w:style>
  <w:style w:type="paragraph" w:styleId="CharCharCharCharCharCharCharChar">
    <w:name w:val="Char Char Знак Знак Char Char Знак Знак Char Char Знак Знак Char Char"/>
    <w:basedOn w:val="Normal"/>
    <w:qFormat/>
    <w:pPr/>
    <w:rPr>
      <w:rFonts w:ascii="Verdana" w:hAnsi="Verdana" w:cs="Verdana"/>
      <w:sz w:val="20"/>
      <w:szCs w:val="20"/>
      <w:lang w:val="en-US"/>
    </w:rPr>
  </w:style>
  <w:style w:type="paragraph" w:styleId="ConsCell">
    <w:name w:val="ConsCell"/>
    <w:qFormat/>
    <w:pPr>
      <w:widowControl w:val="false"/>
      <w:kinsoku w:val="true"/>
      <w:overflowPunct w:val="true"/>
      <w:autoSpaceDE w:val="true"/>
      <w:bidi w:val="0"/>
      <w:ind w:left="0" w:right="19772" w:hanging="0"/>
      <w:jc w:val="left"/>
    </w:pPr>
    <w:rPr>
      <w:rFonts w:ascii="Arial" w:hAnsi="Arial" w:eastAsia="Times New Roman" w:cs="Arial"/>
      <w:color w:val="auto"/>
      <w:sz w:val="24"/>
      <w:szCs w:val="20"/>
      <w:lang w:bidi="ar-SA" w:val="ru-RU" w:eastAsia="zh-CN"/>
    </w:rPr>
  </w:style>
  <w:style w:type="paragraph" w:styleId="13">
    <w:name w:val="1"/>
    <w:basedOn w:val="Normal"/>
    <w:qFormat/>
    <w:pPr/>
    <w:rPr>
      <w:rFonts w:ascii="Verdana" w:hAnsi="Verdana" w:cs="Verdana"/>
      <w:sz w:val="20"/>
      <w:szCs w:val="20"/>
      <w:lang w:val="en-US"/>
    </w:rPr>
  </w:style>
  <w:style w:type="paragraph" w:styleId="Style23">
    <w:name w:val="Основной текст гд"/>
    <w:basedOn w:val="Style17"/>
    <w:qFormat/>
    <w:pPr>
      <w:keepNext/>
      <w:widowControl w:val="false"/>
      <w:jc w:val="center"/>
    </w:pPr>
    <w:rPr>
      <w:sz w:val="22"/>
      <w:szCs w:val="22"/>
    </w:rPr>
  </w:style>
  <w:style w:type="paragraph" w:styleId="Bodytext1">
    <w:name w:val="body_text Знак Знак Знак"/>
    <w:qFormat/>
    <w:pPr>
      <w:widowControl/>
      <w:kinsoku w:val="true"/>
      <w:overflowPunct w:val="true"/>
      <w:autoSpaceDE w:val="true"/>
      <w:bidi w:val="0"/>
      <w:ind w:left="0" w:right="0" w:firstLine="709"/>
      <w:jc w:val="both"/>
    </w:pPr>
    <w:rPr>
      <w:rFonts w:ascii="Times New Roman" w:hAnsi="Times New Roman" w:eastAsia="Times New Roman" w:cs="Times New Roman"/>
      <w:bCs/>
      <w:color w:val="auto"/>
      <w:sz w:val="24"/>
      <w:szCs w:val="24"/>
      <w:lang w:bidi="ar-SA" w:val="ru-RU" w:eastAsia="zh-CN"/>
    </w:rPr>
  </w:style>
  <w:style w:type="paragraph" w:styleId="Style24">
    <w:name w:val="Наименование таблицы Знак"/>
    <w:qFormat/>
    <w:pPr>
      <w:widowControl/>
      <w:kinsoku w:val="true"/>
      <w:overflowPunct w:val="true"/>
      <w:autoSpaceDE w:val="true"/>
      <w:bidi w:val="0"/>
      <w:jc w:val="center"/>
    </w:pPr>
    <w:rPr>
      <w:rFonts w:ascii="Times New Roman" w:hAnsi="Times New Roman" w:eastAsia="Times New Roman" w:cs="Times New Roman"/>
      <w:b/>
      <w:bCs/>
      <w:color w:val="auto"/>
      <w:sz w:val="22"/>
      <w:szCs w:val="22"/>
      <w:lang w:bidi="ar-SA" w:val="ru-RU" w:eastAsia="zh-CN"/>
    </w:rPr>
  </w:style>
  <w:style w:type="paragraph" w:styleId="TablCenter">
    <w:name w:val="Tabl_Center"/>
    <w:basedOn w:val="Normal"/>
    <w:qFormat/>
    <w:pPr>
      <w:keepLines/>
      <w:spacing w:lineRule="auto" w:line="216" w:before="20" w:after="20"/>
      <w:jc w:val="center"/>
    </w:pPr>
    <w:rPr>
      <w:sz w:val="22"/>
      <w:szCs w:val="22"/>
    </w:rPr>
  </w:style>
  <w:style w:type="paragraph" w:styleId="Tablleft">
    <w:name w:val="Tabl_left"/>
    <w:basedOn w:val="TablCenter"/>
    <w:qFormat/>
    <w:pPr>
      <w:jc w:val="left"/>
    </w:pPr>
    <w:rPr/>
  </w:style>
  <w:style w:type="paragraph" w:styleId="Style25">
    <w:name w:val="Body Text Indent"/>
    <w:basedOn w:val="Normal"/>
    <w:pPr>
      <w:spacing w:before="0" w:after="120"/>
      <w:ind w:left="283" w:right="0" w:hanging="0"/>
    </w:pPr>
    <w:rPr/>
  </w:style>
  <w:style w:type="paragraph" w:styleId="Style26">
    <w:name w:val="Foot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ConsNormal">
    <w:name w:val="ConsNormal"/>
    <w:qFormat/>
    <w:pPr>
      <w:widowControl w:val="false"/>
      <w:kinsoku w:val="true"/>
      <w:overflowPunct w:val="true"/>
      <w:autoSpaceDE w:val="true"/>
      <w:bidi w:val="0"/>
      <w:ind w:left="0" w:right="19772" w:firstLine="720"/>
      <w:jc w:val="left"/>
    </w:pPr>
    <w:rPr>
      <w:rFonts w:ascii="Arial" w:hAnsi="Arial" w:eastAsia="Times New Roman" w:cs="Arial"/>
      <w:color w:val="auto"/>
      <w:sz w:val="24"/>
      <w:szCs w:val="20"/>
      <w:lang w:bidi="ar-SA" w:val="ru-RU" w:eastAsia="zh-CN"/>
    </w:rPr>
  </w:style>
  <w:style w:type="paragraph" w:styleId="BodyTextKeep">
    <w:name w:val="Body Text Keep"/>
    <w:basedOn w:val="Normal"/>
    <w:qFormat/>
    <w:pPr>
      <w:keepNext/>
      <w:tabs>
        <w:tab w:val="left" w:pos="3345" w:leader="none"/>
      </w:tabs>
      <w:jc w:val="both"/>
    </w:pPr>
    <w:rPr>
      <w:spacing w:val="-5"/>
      <w:sz w:val="20"/>
      <w:szCs w:val="20"/>
    </w:rPr>
  </w:style>
  <w:style w:type="paragraph" w:styleId="BlockText">
    <w:name w:val="Block Text"/>
    <w:basedOn w:val="Normal"/>
    <w:qFormat/>
    <w:pPr>
      <w:ind w:left="-567" w:right="-1050" w:hanging="0"/>
      <w:jc w:val="both"/>
    </w:pPr>
    <w:rPr>
      <w:sz w:val="28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yle27">
    <w:name w:val="Head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jc w:val="left"/>
    </w:pPr>
    <w:rPr>
      <w:rFonts w:ascii="Calibri" w:hAnsi="Calibri" w:eastAsia="Calibri" w:cs="Arial"/>
      <w:color w:val="auto"/>
      <w:sz w:val="22"/>
      <w:szCs w:val="22"/>
      <w:lang w:bidi="ar-SA" w:val="ru-RU" w:eastAsia="zh-CN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Times New Roman" w:cs="Arial"/>
      <w:color w:val="000000"/>
      <w:sz w:val="24"/>
      <w:szCs w:val="24"/>
      <w:lang w:bidi="ar-SA" w:val="ru-RU" w:eastAsia="zh-CN"/>
    </w:rPr>
  </w:style>
  <w:style w:type="paragraph" w:styleId="Style28">
    <w:name w:val="Subtitle"/>
    <w:basedOn w:val="Normal"/>
    <w:qFormat/>
    <w:pPr>
      <w:jc w:val="center"/>
    </w:pPr>
    <w:rPr>
      <w:b/>
      <w:bCs/>
      <w:sz w:val="36"/>
    </w:rPr>
  </w:style>
  <w:style w:type="paragraph" w:styleId="ConsPlusNonformat">
    <w:name w:val="ConsPlusNonformat"/>
    <w:qFormat/>
    <w:pPr>
      <w:widowControl/>
      <w:kinsoku w:val="true"/>
      <w:overflowPunct w:val="true"/>
      <w:autoSpaceDE w:val="true"/>
      <w:bidi w:val="0"/>
      <w:jc w:val="left"/>
    </w:pPr>
    <w:rPr>
      <w:rFonts w:ascii="Courier New" w:hAnsi="Courier New" w:eastAsia="Times New Roman" w:cs="Courier New"/>
      <w:color w:val="auto"/>
      <w:sz w:val="24"/>
      <w:szCs w:val="20"/>
      <w:lang w:bidi="ar-SA" w:val="ru-RU" w:eastAsia="zh-CN"/>
    </w:rPr>
  </w:style>
  <w:style w:type="paragraph" w:styleId="Style29">
    <w:name w:val="Содержимое таблицы"/>
    <w:basedOn w:val="Normal"/>
    <w:qFormat/>
    <w:pPr>
      <w:suppressLineNumbers/>
    </w:pPr>
    <w:rPr/>
  </w:style>
  <w:style w:type="paragraph" w:styleId="Style30">
    <w:name w:val="Заголовок таблицы"/>
    <w:basedOn w:val="Style29"/>
    <w:qFormat/>
    <w:pPr>
      <w:jc w:val="center"/>
    </w:pPr>
    <w:rPr>
      <w:b/>
      <w:bCs/>
    </w:rPr>
  </w:style>
  <w:style w:type="numbering" w:styleId="NoList">
    <w:name w:val="No List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Application>LibreOffice/5.2.0.4$Windows_X86_64 LibreOffice_project/066b007f5ebcc236395c7d282ba488bca6720265</Application>
  <Pages>26</Pages>
  <Words>3389</Words>
  <Characters>23337</Characters>
  <CharactersWithSpaces>25981</CharactersWithSpaces>
  <Paragraphs>1139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2016-04-18T10:04:00Z</dcterms:created>
  <dc:creator>торгов</dc:creator>
  <dc:description/>
  <dc:language>ru-RU</dc:language>
  <cp:lastModifiedBy/>
  <cp:lastPrinted>2016-11-09T13:51:00Z</cp:lastPrinted>
  <dcterms:modified xsi:type="dcterms:W3CDTF">2017-10-17T13:30:38Z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